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15E9"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69E342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19BF199" w14:textId="77777777" w:rsidTr="007673F3">
        <w:tc>
          <w:tcPr>
            <w:tcW w:w="3205" w:type="dxa"/>
            <w:shd w:val="clear" w:color="auto" w:fill="DDD9C3" w:themeFill="background2" w:themeFillShade="E6"/>
          </w:tcPr>
          <w:p w14:paraId="3E44ACD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BA69B2D" w14:textId="255C7111" w:rsidR="000F4FD4" w:rsidRPr="00705AAD" w:rsidRDefault="002B4AF8" w:rsidP="007673F3">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0F4FD4" w:rsidRPr="00705AAD" w14:paraId="4E657F60" w14:textId="77777777" w:rsidTr="007673F3">
        <w:tc>
          <w:tcPr>
            <w:tcW w:w="3205" w:type="dxa"/>
            <w:shd w:val="clear" w:color="auto" w:fill="DDD9C3" w:themeFill="background2" w:themeFillShade="E6"/>
          </w:tcPr>
          <w:p w14:paraId="06907C4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6FFCC02D" w14:textId="664FAD25" w:rsidR="000F4FD4" w:rsidRPr="00705AAD" w:rsidRDefault="002B4AF8" w:rsidP="007673F3">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0F4FD4" w:rsidRPr="00705AAD" w14:paraId="1412225E" w14:textId="77777777" w:rsidTr="007673F3">
        <w:tc>
          <w:tcPr>
            <w:tcW w:w="3205" w:type="dxa"/>
            <w:shd w:val="clear" w:color="auto" w:fill="DDD9C3" w:themeFill="background2" w:themeFillShade="E6"/>
          </w:tcPr>
          <w:p w14:paraId="26D457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B324F1F" w14:textId="7A834C83" w:rsidR="000F4FD4" w:rsidRPr="00705AAD" w:rsidRDefault="002B4AF8" w:rsidP="007673F3">
            <w:pPr>
              <w:rPr>
                <w:rFonts w:ascii="Calibri" w:hAnsi="Calibri" w:cs="Arial"/>
                <w:color w:val="002060"/>
                <w:sz w:val="20"/>
                <w:szCs w:val="20"/>
                <w:lang w:val="el-GR"/>
              </w:rPr>
            </w:pPr>
            <w:r>
              <w:rPr>
                <w:rFonts w:ascii="Calibri" w:hAnsi="Calibri" w:cs="Arial"/>
                <w:sz w:val="20"/>
                <w:szCs w:val="20"/>
                <w:lang w:val="el-GR"/>
              </w:rPr>
              <w:t>ΠΡΟΠΤΥΧΙΑΚΟ</w:t>
            </w:r>
            <w:r w:rsidRPr="002430F0">
              <w:rPr>
                <w:rFonts w:ascii="Calibri" w:hAnsi="Calibri" w:cs="Arial"/>
                <w:sz w:val="20"/>
                <w:szCs w:val="20"/>
              </w:rPr>
              <w:t xml:space="preserve"> ΠΡΟΓΡΑΜΜΑ ΣΠΟΥΔΩΝ</w:t>
            </w:r>
          </w:p>
        </w:tc>
      </w:tr>
      <w:tr w:rsidR="000F4FD4" w:rsidRPr="00705AAD" w14:paraId="12CE4C78" w14:textId="77777777" w:rsidTr="007673F3">
        <w:tc>
          <w:tcPr>
            <w:tcW w:w="3205" w:type="dxa"/>
            <w:shd w:val="clear" w:color="auto" w:fill="DDD9C3" w:themeFill="background2" w:themeFillShade="E6"/>
          </w:tcPr>
          <w:p w14:paraId="16BD3C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4BE383F" w14:textId="27F71F6B" w:rsidR="000F4FD4" w:rsidRPr="00B443A2" w:rsidRDefault="000C0BF1" w:rsidP="007673F3">
            <w:pPr>
              <w:rPr>
                <w:rFonts w:ascii="Calibri" w:hAnsi="Calibri" w:cs="Arial"/>
                <w:bCs/>
                <w:sz w:val="20"/>
                <w:szCs w:val="20"/>
                <w:lang w:val="el-GR"/>
              </w:rPr>
            </w:pPr>
            <w:r w:rsidRPr="000C0BF1">
              <w:rPr>
                <w:rFonts w:ascii="Calibri" w:hAnsi="Calibri" w:cs="Arial"/>
                <w:bCs/>
                <w:sz w:val="20"/>
                <w:szCs w:val="20"/>
                <w:lang w:val="el-GR"/>
              </w:rPr>
              <w:t>ΛΟ501</w:t>
            </w:r>
          </w:p>
        </w:tc>
        <w:tc>
          <w:tcPr>
            <w:tcW w:w="2505" w:type="dxa"/>
            <w:gridSpan w:val="2"/>
            <w:shd w:val="clear" w:color="auto" w:fill="DDD9C3" w:themeFill="background2" w:themeFillShade="E6"/>
          </w:tcPr>
          <w:p w14:paraId="4080BB8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5A70096" w14:textId="77777777" w:rsidR="000F4FD4" w:rsidRPr="00705AAD" w:rsidRDefault="000F4FD4" w:rsidP="007673F3">
            <w:pPr>
              <w:rPr>
                <w:rFonts w:ascii="Calibri" w:hAnsi="Calibri" w:cs="Arial"/>
                <w:b/>
                <w:sz w:val="20"/>
                <w:szCs w:val="20"/>
                <w:lang w:val="el-GR"/>
              </w:rPr>
            </w:pPr>
          </w:p>
        </w:tc>
      </w:tr>
      <w:tr w:rsidR="000F4FD4" w:rsidRPr="004F178E" w14:paraId="09D963F9" w14:textId="77777777" w:rsidTr="007673F3">
        <w:trPr>
          <w:trHeight w:val="375"/>
        </w:trPr>
        <w:tc>
          <w:tcPr>
            <w:tcW w:w="3205" w:type="dxa"/>
            <w:shd w:val="clear" w:color="auto" w:fill="DDD9C3" w:themeFill="background2" w:themeFillShade="E6"/>
            <w:vAlign w:val="center"/>
          </w:tcPr>
          <w:p w14:paraId="0F5840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7A11618" w14:textId="2B6B0AF5" w:rsidR="000F4FD4" w:rsidRPr="002B4AF8" w:rsidRDefault="000C0BF1" w:rsidP="007673F3">
            <w:pPr>
              <w:rPr>
                <w:rFonts w:ascii="Calibri" w:hAnsi="Calibri" w:cs="Arial"/>
                <w:sz w:val="20"/>
                <w:szCs w:val="20"/>
                <w:lang w:val="el-GR"/>
              </w:rPr>
            </w:pPr>
            <w:r w:rsidRPr="000C0BF1">
              <w:rPr>
                <w:rFonts w:ascii="Calibri" w:hAnsi="Calibri" w:cs="Arial"/>
                <w:sz w:val="20"/>
                <w:szCs w:val="20"/>
                <w:lang w:val="el-GR"/>
              </w:rPr>
              <w:t xml:space="preserve">Φορολογική Λογιστική Ι </w:t>
            </w:r>
          </w:p>
        </w:tc>
      </w:tr>
      <w:tr w:rsidR="000F4FD4" w:rsidRPr="00705AAD" w14:paraId="0EF84654" w14:textId="77777777" w:rsidTr="007673F3">
        <w:trPr>
          <w:trHeight w:val="196"/>
        </w:trPr>
        <w:tc>
          <w:tcPr>
            <w:tcW w:w="5637" w:type="dxa"/>
            <w:gridSpan w:val="3"/>
            <w:shd w:val="clear" w:color="auto" w:fill="DDD9C3" w:themeFill="background2" w:themeFillShade="E6"/>
            <w:vAlign w:val="center"/>
          </w:tcPr>
          <w:p w14:paraId="73DD055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12302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724846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D859A67" w14:textId="77777777" w:rsidTr="007673F3">
        <w:trPr>
          <w:trHeight w:val="194"/>
        </w:trPr>
        <w:tc>
          <w:tcPr>
            <w:tcW w:w="5637" w:type="dxa"/>
            <w:gridSpan w:val="3"/>
          </w:tcPr>
          <w:p w14:paraId="65AEBA76" w14:textId="090B3816" w:rsidR="000F4FD4" w:rsidRPr="00B0612A" w:rsidRDefault="002B4AF8" w:rsidP="002B4AF8">
            <w:pPr>
              <w:jc w:val="center"/>
              <w:rPr>
                <w:rFonts w:ascii="Calibri" w:hAnsi="Calibri" w:cs="Arial"/>
                <w:sz w:val="20"/>
                <w:szCs w:val="20"/>
                <w:lang w:val="el-GR"/>
              </w:rPr>
            </w:pPr>
            <w:r w:rsidRPr="00B0612A">
              <w:rPr>
                <w:rFonts w:ascii="Calibri" w:hAnsi="Calibri" w:cs="Arial"/>
                <w:sz w:val="20"/>
                <w:szCs w:val="20"/>
              </w:rPr>
              <w:t>ΔΙΑΛΕΞΕΙΣ</w:t>
            </w:r>
          </w:p>
        </w:tc>
        <w:tc>
          <w:tcPr>
            <w:tcW w:w="1559" w:type="dxa"/>
            <w:gridSpan w:val="2"/>
          </w:tcPr>
          <w:p w14:paraId="7B3438AD" w14:textId="004A3AFA" w:rsidR="000F4FD4" w:rsidRPr="00B0612A" w:rsidRDefault="002B4AF8" w:rsidP="007673F3">
            <w:pPr>
              <w:jc w:val="center"/>
              <w:rPr>
                <w:rFonts w:ascii="Calibri" w:hAnsi="Calibri" w:cs="Arial"/>
                <w:sz w:val="20"/>
                <w:szCs w:val="20"/>
                <w:lang w:val="el-GR"/>
              </w:rPr>
            </w:pPr>
            <w:r w:rsidRPr="00B0612A">
              <w:rPr>
                <w:rFonts w:ascii="Calibri" w:hAnsi="Calibri" w:cs="Arial"/>
                <w:sz w:val="20"/>
                <w:szCs w:val="20"/>
              </w:rPr>
              <w:t>3</w:t>
            </w:r>
          </w:p>
        </w:tc>
        <w:tc>
          <w:tcPr>
            <w:tcW w:w="1240" w:type="dxa"/>
          </w:tcPr>
          <w:p w14:paraId="1D6F2FB3" w14:textId="07F739B1" w:rsidR="000F4FD4" w:rsidRPr="00B0612A" w:rsidRDefault="00B443A2" w:rsidP="007673F3">
            <w:pPr>
              <w:jc w:val="center"/>
              <w:rPr>
                <w:rFonts w:ascii="Calibri" w:hAnsi="Calibri" w:cs="Arial"/>
                <w:sz w:val="20"/>
                <w:szCs w:val="20"/>
                <w:lang w:val="el-GR"/>
              </w:rPr>
            </w:pPr>
            <w:r w:rsidRPr="00B0612A">
              <w:rPr>
                <w:rFonts w:ascii="Calibri" w:hAnsi="Calibri" w:cs="Arial"/>
                <w:sz w:val="20"/>
                <w:szCs w:val="20"/>
                <w:lang w:val="el-GR"/>
              </w:rPr>
              <w:t>6</w:t>
            </w:r>
          </w:p>
        </w:tc>
      </w:tr>
      <w:tr w:rsidR="000F4FD4" w:rsidRPr="00705AAD" w14:paraId="0353A072" w14:textId="77777777" w:rsidTr="007673F3">
        <w:trPr>
          <w:trHeight w:val="194"/>
        </w:trPr>
        <w:tc>
          <w:tcPr>
            <w:tcW w:w="5637" w:type="dxa"/>
            <w:gridSpan w:val="3"/>
          </w:tcPr>
          <w:p w14:paraId="198139FC"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D9A46D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29CC58D" w14:textId="77777777" w:rsidR="000F4FD4" w:rsidRPr="00705AAD" w:rsidRDefault="000F4FD4" w:rsidP="007673F3">
            <w:pPr>
              <w:rPr>
                <w:rFonts w:ascii="Calibri" w:hAnsi="Calibri" w:cs="Arial"/>
                <w:color w:val="002060"/>
                <w:sz w:val="20"/>
                <w:szCs w:val="20"/>
                <w:lang w:val="el-GR"/>
              </w:rPr>
            </w:pPr>
          </w:p>
        </w:tc>
      </w:tr>
      <w:tr w:rsidR="000F4FD4" w:rsidRPr="00705AAD" w14:paraId="1087B4A1" w14:textId="77777777" w:rsidTr="007673F3">
        <w:trPr>
          <w:trHeight w:val="194"/>
        </w:trPr>
        <w:tc>
          <w:tcPr>
            <w:tcW w:w="5637" w:type="dxa"/>
            <w:gridSpan w:val="3"/>
          </w:tcPr>
          <w:p w14:paraId="3A3EF06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B98B7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CC72FF5" w14:textId="77777777" w:rsidR="000F4FD4" w:rsidRPr="00705AAD" w:rsidRDefault="000F4FD4" w:rsidP="007673F3">
            <w:pPr>
              <w:rPr>
                <w:rFonts w:ascii="Calibri" w:hAnsi="Calibri" w:cs="Arial"/>
                <w:color w:val="002060"/>
                <w:sz w:val="20"/>
                <w:szCs w:val="20"/>
                <w:lang w:val="el-GR"/>
              </w:rPr>
            </w:pPr>
          </w:p>
        </w:tc>
      </w:tr>
      <w:tr w:rsidR="000F4FD4" w:rsidRPr="009526A4" w14:paraId="25B96CB3" w14:textId="77777777" w:rsidTr="007673F3">
        <w:trPr>
          <w:trHeight w:val="194"/>
        </w:trPr>
        <w:tc>
          <w:tcPr>
            <w:tcW w:w="5637" w:type="dxa"/>
            <w:gridSpan w:val="3"/>
            <w:shd w:val="clear" w:color="auto" w:fill="DDD9C3" w:themeFill="background2" w:themeFillShade="E6"/>
          </w:tcPr>
          <w:p w14:paraId="41294A2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80F50F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EA25C3D" w14:textId="77777777" w:rsidR="000F4FD4" w:rsidRPr="00705AAD" w:rsidRDefault="000F4FD4" w:rsidP="007673F3">
            <w:pPr>
              <w:rPr>
                <w:rFonts w:ascii="Calibri" w:hAnsi="Calibri" w:cs="Arial"/>
                <w:color w:val="002060"/>
                <w:sz w:val="20"/>
                <w:szCs w:val="20"/>
                <w:lang w:val="el-GR"/>
              </w:rPr>
            </w:pPr>
          </w:p>
        </w:tc>
      </w:tr>
      <w:tr w:rsidR="000F4FD4" w:rsidRPr="007E6482" w14:paraId="2E3C7FA3" w14:textId="77777777" w:rsidTr="007673F3">
        <w:trPr>
          <w:trHeight w:val="599"/>
        </w:trPr>
        <w:tc>
          <w:tcPr>
            <w:tcW w:w="3205" w:type="dxa"/>
            <w:shd w:val="clear" w:color="auto" w:fill="DDD9C3" w:themeFill="background2" w:themeFillShade="E6"/>
          </w:tcPr>
          <w:p w14:paraId="558BCF0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F91AAEF"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5794E6"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4F821FC" w14:textId="3A180B15" w:rsidR="000F4FD4" w:rsidRPr="00B0612A" w:rsidRDefault="00FB55D4" w:rsidP="0085070E">
            <w:pPr>
              <w:jc w:val="center"/>
              <w:rPr>
                <w:rFonts w:ascii="Calibri" w:hAnsi="Calibri" w:cs="Arial"/>
                <w:sz w:val="20"/>
                <w:szCs w:val="20"/>
                <w:lang w:val="el-GR"/>
              </w:rPr>
            </w:pPr>
            <w:r w:rsidRPr="00B0612A">
              <w:rPr>
                <w:rFonts w:ascii="Calibri" w:hAnsi="Calibri" w:cs="Arial"/>
                <w:sz w:val="20"/>
                <w:szCs w:val="20"/>
                <w:lang w:val="el-GR"/>
              </w:rPr>
              <w:t>ΕΙΔΙΚΟΥ</w:t>
            </w:r>
            <w:r w:rsidR="0085070E" w:rsidRPr="00B0612A">
              <w:rPr>
                <w:rFonts w:ascii="Calibri" w:hAnsi="Calibri" w:cs="Arial"/>
                <w:sz w:val="20"/>
                <w:szCs w:val="20"/>
                <w:lang w:val="el-GR"/>
              </w:rPr>
              <w:t xml:space="preserve"> ΥΠΟΒΑΘΡΟΥ</w:t>
            </w:r>
          </w:p>
        </w:tc>
      </w:tr>
      <w:tr w:rsidR="000F4FD4" w:rsidRPr="00705AAD" w14:paraId="497FD7CA" w14:textId="77777777" w:rsidTr="007673F3">
        <w:tc>
          <w:tcPr>
            <w:tcW w:w="3205" w:type="dxa"/>
            <w:shd w:val="clear" w:color="auto" w:fill="DDD9C3" w:themeFill="background2" w:themeFillShade="E6"/>
          </w:tcPr>
          <w:p w14:paraId="61F967C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81030A3"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26BF25" w14:textId="28674F73" w:rsidR="000F4FD4" w:rsidRPr="00B0612A" w:rsidRDefault="0085070E" w:rsidP="002B4AF8">
            <w:pPr>
              <w:jc w:val="center"/>
              <w:rPr>
                <w:rFonts w:ascii="Calibri" w:hAnsi="Calibri" w:cs="Arial"/>
                <w:sz w:val="20"/>
                <w:szCs w:val="20"/>
                <w:lang w:val="el-GR"/>
              </w:rPr>
            </w:pPr>
            <w:r w:rsidRPr="00B0612A">
              <w:rPr>
                <w:rFonts w:ascii="Calibri" w:hAnsi="Calibri" w:cs="Arial"/>
                <w:sz w:val="20"/>
                <w:szCs w:val="20"/>
                <w:lang w:val="el-GR"/>
              </w:rPr>
              <w:t>ΟΧΙ</w:t>
            </w:r>
          </w:p>
        </w:tc>
      </w:tr>
      <w:tr w:rsidR="000F4FD4" w:rsidRPr="00705AAD" w14:paraId="38313EFB" w14:textId="77777777" w:rsidTr="007673F3">
        <w:tc>
          <w:tcPr>
            <w:tcW w:w="3205" w:type="dxa"/>
            <w:shd w:val="clear" w:color="auto" w:fill="DDD9C3" w:themeFill="background2" w:themeFillShade="E6"/>
          </w:tcPr>
          <w:p w14:paraId="4886490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2AD94C5" w14:textId="54C35C4B" w:rsidR="000F4FD4" w:rsidRPr="00B0612A" w:rsidRDefault="00554643" w:rsidP="00554643">
            <w:pPr>
              <w:jc w:val="center"/>
              <w:rPr>
                <w:rFonts w:ascii="Calibri" w:hAnsi="Calibri" w:cs="Arial"/>
                <w:sz w:val="20"/>
                <w:szCs w:val="20"/>
              </w:rPr>
            </w:pPr>
            <w:r w:rsidRPr="00B0612A">
              <w:rPr>
                <w:rFonts w:ascii="Calibri" w:hAnsi="Calibri" w:cs="Arial"/>
                <w:sz w:val="20"/>
                <w:szCs w:val="20"/>
              </w:rPr>
              <w:t>ΕΛΛΗΝΙΚΗ</w:t>
            </w:r>
          </w:p>
        </w:tc>
      </w:tr>
      <w:tr w:rsidR="000F4FD4" w:rsidRPr="002B4AF8" w14:paraId="1F377740" w14:textId="77777777" w:rsidTr="007673F3">
        <w:tc>
          <w:tcPr>
            <w:tcW w:w="3205" w:type="dxa"/>
            <w:shd w:val="clear" w:color="auto" w:fill="DDD9C3" w:themeFill="background2" w:themeFillShade="E6"/>
          </w:tcPr>
          <w:p w14:paraId="5449EED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35D594C" w14:textId="228B43C8" w:rsidR="000F4FD4" w:rsidRPr="00B0612A" w:rsidRDefault="0085070E" w:rsidP="0085070E">
            <w:pPr>
              <w:jc w:val="center"/>
              <w:rPr>
                <w:rFonts w:ascii="Calibri" w:hAnsi="Calibri" w:cs="Arial"/>
                <w:sz w:val="20"/>
                <w:szCs w:val="20"/>
                <w:lang w:val="el-GR"/>
              </w:rPr>
            </w:pPr>
            <w:r w:rsidRPr="00B0612A">
              <w:rPr>
                <w:rFonts w:ascii="Calibri" w:hAnsi="Calibri" w:cs="Arial"/>
                <w:sz w:val="20"/>
                <w:szCs w:val="20"/>
                <w:lang w:val="el-GR"/>
              </w:rPr>
              <w:t>ΟΧΙ</w:t>
            </w:r>
          </w:p>
        </w:tc>
      </w:tr>
      <w:tr w:rsidR="000F4FD4" w:rsidRPr="00705AAD" w14:paraId="4840363E" w14:textId="77777777" w:rsidTr="007673F3">
        <w:tc>
          <w:tcPr>
            <w:tcW w:w="3205" w:type="dxa"/>
            <w:shd w:val="clear" w:color="auto" w:fill="DDD9C3" w:themeFill="background2" w:themeFillShade="E6"/>
          </w:tcPr>
          <w:p w14:paraId="2DE6A665"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48A49DC" w14:textId="751B679F" w:rsidR="000F4FD4" w:rsidRPr="007B794C" w:rsidRDefault="004B5B2F" w:rsidP="007673F3">
            <w:pPr>
              <w:spacing w:after="200" w:line="276" w:lineRule="auto"/>
              <w:rPr>
                <w:rFonts w:ascii="Calibri" w:eastAsia="Calibri" w:hAnsi="Calibri" w:cs="Arial"/>
                <w:color w:val="002060"/>
                <w:sz w:val="20"/>
                <w:szCs w:val="20"/>
                <w:lang w:val="en-GB"/>
              </w:rPr>
            </w:pPr>
            <w:hyperlink r:id="rId7" w:history="1">
              <w:r w:rsidR="007B794C" w:rsidRPr="005D55D9">
                <w:rPr>
                  <w:rStyle w:val="-"/>
                  <w:rFonts w:ascii="Calibri" w:eastAsia="Calibri" w:hAnsi="Calibri" w:cs="Arial"/>
                  <w:sz w:val="20"/>
                  <w:szCs w:val="20"/>
                  <w:lang w:val="en-GB"/>
                </w:rPr>
                <w:t>https://accfin.uth.gr/module-501/</w:t>
              </w:r>
            </w:hyperlink>
            <w:r w:rsidR="007B794C" w:rsidRPr="007B794C">
              <w:rPr>
                <w:rFonts w:ascii="Calibri" w:eastAsia="Calibri" w:hAnsi="Calibri" w:cs="Arial"/>
                <w:color w:val="002060"/>
                <w:sz w:val="20"/>
                <w:szCs w:val="20"/>
                <w:lang w:val="en-GB"/>
              </w:rPr>
              <w:t xml:space="preserve"> </w:t>
            </w:r>
          </w:p>
        </w:tc>
      </w:tr>
    </w:tbl>
    <w:p w14:paraId="626DC0A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2904D69" w14:textId="77777777" w:rsidTr="00305D37">
        <w:tc>
          <w:tcPr>
            <w:tcW w:w="8472" w:type="dxa"/>
            <w:gridSpan w:val="2"/>
            <w:tcBorders>
              <w:bottom w:val="nil"/>
            </w:tcBorders>
            <w:shd w:val="clear" w:color="auto" w:fill="DDD9C3" w:themeFill="background2" w:themeFillShade="E6"/>
          </w:tcPr>
          <w:p w14:paraId="27841E6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526A4" w14:paraId="160CD3A4" w14:textId="77777777" w:rsidTr="00305D37">
        <w:tc>
          <w:tcPr>
            <w:tcW w:w="8472" w:type="dxa"/>
            <w:gridSpan w:val="2"/>
            <w:tcBorders>
              <w:top w:val="nil"/>
            </w:tcBorders>
            <w:shd w:val="clear" w:color="auto" w:fill="DDD9C3" w:themeFill="background2" w:themeFillShade="E6"/>
          </w:tcPr>
          <w:p w14:paraId="44F67AC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D00E2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EBB2E4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DEA4FC6"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10348C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526A4" w14:paraId="79A55258" w14:textId="77777777" w:rsidTr="00305D37">
        <w:tc>
          <w:tcPr>
            <w:tcW w:w="8472" w:type="dxa"/>
            <w:gridSpan w:val="2"/>
          </w:tcPr>
          <w:p w14:paraId="5E63FA52" w14:textId="5D00A3ED" w:rsidR="00FB55D4" w:rsidRPr="00B0612A" w:rsidRDefault="00871569" w:rsidP="00B0612A">
            <w:pPr>
              <w:widowControl w:val="0"/>
              <w:autoSpaceDE w:val="0"/>
              <w:autoSpaceDN w:val="0"/>
              <w:adjustRightInd w:val="0"/>
              <w:spacing w:line="360" w:lineRule="auto"/>
              <w:contextualSpacing/>
              <w:jc w:val="both"/>
              <w:rPr>
                <w:rFonts w:ascii="Calibri" w:eastAsia="Calibri" w:hAnsi="Calibri"/>
                <w:bCs/>
                <w:sz w:val="20"/>
                <w:szCs w:val="20"/>
                <w:lang w:val="el-GR"/>
              </w:rPr>
            </w:pPr>
            <w:r w:rsidRPr="00B0612A">
              <w:rPr>
                <w:rFonts w:ascii="Calibri" w:eastAsia="Calibri" w:hAnsi="Calibri"/>
                <w:bCs/>
                <w:sz w:val="20"/>
                <w:szCs w:val="20"/>
                <w:lang w:val="el-GR"/>
              </w:rPr>
              <w:t xml:space="preserve">Το μάθημα παρουσιάζει τις βασικές έννοιες και τον τρόπο φορολόγησης εισοδήματος φυσικών και νομικών προσώπων στην Ελλάδα, σύμφωνα με την ισχύουσα νομοθεσία. Σκοπός του μαθήματος είναι να παρέχει στους φοιτητές και μελλοντικά στελέχη των επιχειρήσεων, των οργανισμών και της Διοίκησης καθώς και τους μελλοντικούς επαγγελματίες τα ουσιώδη στοιχεία της φορολογικής νομοθεσίας και την εμβάθυνση που απαιτείται για να αποκτήσουν θεμελιωμένες και βέβαιες απόψεις στα φορολογικά θέματα, μειώνοντας τις δυσκολίες που δημιουργούνται από το ευμετάβλητο του αντικειμένου της, ώστε να οδηγούνται ευκολότερα σε λύσεις και αποφάσεις επί των οικονομικών και διοικητικών θεμάτων. </w:t>
            </w:r>
          </w:p>
          <w:p w14:paraId="051FF507" w14:textId="24A9E565" w:rsidR="000F4FD4" w:rsidRPr="00B0612A" w:rsidRDefault="00554643" w:rsidP="00B0612A">
            <w:pPr>
              <w:widowControl w:val="0"/>
              <w:autoSpaceDE w:val="0"/>
              <w:autoSpaceDN w:val="0"/>
              <w:adjustRightInd w:val="0"/>
              <w:spacing w:line="360" w:lineRule="auto"/>
              <w:contextualSpacing/>
              <w:rPr>
                <w:rFonts w:ascii="Calibri" w:eastAsia="Calibri" w:hAnsi="Calibri"/>
                <w:bCs/>
                <w:sz w:val="20"/>
                <w:szCs w:val="20"/>
                <w:lang w:val="el-GR"/>
              </w:rPr>
            </w:pPr>
            <w:r w:rsidRPr="00B0612A">
              <w:rPr>
                <w:rFonts w:ascii="Calibri" w:eastAsia="Calibri" w:hAnsi="Calibri"/>
                <w:bCs/>
                <w:sz w:val="20"/>
                <w:szCs w:val="20"/>
                <w:lang w:val="el-GR"/>
              </w:rPr>
              <w:t xml:space="preserve">Με την επιτυχή ολοκλήρωση του μαθήματος, </w:t>
            </w:r>
            <w:r w:rsidR="006F16F7" w:rsidRPr="00B0612A">
              <w:rPr>
                <w:rFonts w:ascii="Calibri" w:eastAsia="Calibri" w:hAnsi="Calibri"/>
                <w:bCs/>
                <w:sz w:val="20"/>
                <w:szCs w:val="20"/>
                <w:lang w:val="el-GR"/>
              </w:rPr>
              <w:t>ο</w:t>
            </w:r>
            <w:r w:rsidR="00C630E5" w:rsidRPr="00B0612A">
              <w:rPr>
                <w:rFonts w:ascii="Calibri" w:eastAsia="Calibri" w:hAnsi="Calibri"/>
                <w:bCs/>
                <w:sz w:val="20"/>
                <w:szCs w:val="20"/>
                <w:lang w:val="el-GR"/>
              </w:rPr>
              <w:t xml:space="preserve"> φοιτητές</w:t>
            </w:r>
            <w:r w:rsidR="006F16F7" w:rsidRPr="00B0612A">
              <w:rPr>
                <w:rFonts w:ascii="Calibri" w:eastAsia="Calibri" w:hAnsi="Calibri"/>
                <w:bCs/>
                <w:sz w:val="20"/>
                <w:szCs w:val="20"/>
                <w:lang w:val="el-GR"/>
              </w:rPr>
              <w:t>/</w:t>
            </w:r>
            <w:proofErr w:type="spellStart"/>
            <w:r w:rsidR="006F16F7" w:rsidRPr="00B0612A">
              <w:rPr>
                <w:rFonts w:ascii="Calibri" w:eastAsia="Calibri" w:hAnsi="Calibri"/>
                <w:bCs/>
                <w:sz w:val="20"/>
                <w:szCs w:val="20"/>
                <w:lang w:val="el-GR"/>
              </w:rPr>
              <w:t>τρια</w:t>
            </w:r>
            <w:proofErr w:type="spellEnd"/>
            <w:r w:rsidR="00C630E5" w:rsidRPr="00B0612A">
              <w:rPr>
                <w:rFonts w:ascii="Calibri" w:eastAsia="Calibri" w:hAnsi="Calibri"/>
                <w:bCs/>
                <w:sz w:val="20"/>
                <w:szCs w:val="20"/>
                <w:lang w:val="el-GR"/>
              </w:rPr>
              <w:t xml:space="preserve"> θα</w:t>
            </w:r>
            <w:r w:rsidR="006E751B" w:rsidRPr="00B0612A">
              <w:rPr>
                <w:rFonts w:ascii="Calibri" w:eastAsia="Calibri" w:hAnsi="Calibri"/>
                <w:bCs/>
                <w:sz w:val="20"/>
                <w:szCs w:val="20"/>
                <w:lang w:val="el-GR"/>
              </w:rPr>
              <w:t xml:space="preserve"> είναι σε θέση να:</w:t>
            </w:r>
          </w:p>
          <w:p w14:paraId="2862710D" w14:textId="1E37433F" w:rsidR="006F16F7" w:rsidRPr="00B0612A" w:rsidRDefault="00871569" w:rsidP="00B0612A">
            <w:pPr>
              <w:pStyle w:val="ab"/>
              <w:widowControl w:val="0"/>
              <w:numPr>
                <w:ilvl w:val="0"/>
                <w:numId w:val="47"/>
              </w:numPr>
              <w:autoSpaceDE w:val="0"/>
              <w:autoSpaceDN w:val="0"/>
              <w:adjustRightInd w:val="0"/>
              <w:spacing w:line="360" w:lineRule="auto"/>
              <w:rPr>
                <w:rFonts w:eastAsia="Calibri"/>
                <w:bCs/>
                <w:sz w:val="20"/>
                <w:szCs w:val="20"/>
              </w:rPr>
            </w:pPr>
            <w:r w:rsidRPr="00B0612A">
              <w:rPr>
                <w:rFonts w:eastAsia="Calibri"/>
                <w:bCs/>
                <w:sz w:val="20"/>
                <w:szCs w:val="20"/>
              </w:rPr>
              <w:t xml:space="preserve">Αντιλαμβάνεται τις βασικές διαφορές μεταξύ της Χρηματοοικονομικής Λογιστικής και της </w:t>
            </w:r>
            <w:r w:rsidRPr="00B0612A">
              <w:rPr>
                <w:rFonts w:eastAsia="Calibri"/>
                <w:bCs/>
                <w:sz w:val="20"/>
                <w:szCs w:val="20"/>
              </w:rPr>
              <w:lastRenderedPageBreak/>
              <w:t>Φορολογικής Λογιστικής</w:t>
            </w:r>
            <w:r w:rsidR="007E05EC" w:rsidRPr="00B0612A">
              <w:rPr>
                <w:rFonts w:eastAsia="Calibri"/>
                <w:bCs/>
                <w:sz w:val="20"/>
                <w:szCs w:val="20"/>
              </w:rPr>
              <w:t>,</w:t>
            </w:r>
          </w:p>
          <w:p w14:paraId="435E127F" w14:textId="3CC51E73" w:rsidR="002A74B9" w:rsidRPr="00B0612A" w:rsidRDefault="00871569" w:rsidP="00B0612A">
            <w:pPr>
              <w:pStyle w:val="ab"/>
              <w:widowControl w:val="0"/>
              <w:numPr>
                <w:ilvl w:val="0"/>
                <w:numId w:val="47"/>
              </w:numPr>
              <w:autoSpaceDE w:val="0"/>
              <w:autoSpaceDN w:val="0"/>
              <w:adjustRightInd w:val="0"/>
              <w:spacing w:line="360" w:lineRule="auto"/>
              <w:rPr>
                <w:rFonts w:eastAsia="Calibri"/>
                <w:bCs/>
                <w:sz w:val="20"/>
                <w:szCs w:val="20"/>
              </w:rPr>
            </w:pPr>
            <w:r w:rsidRPr="00B0612A">
              <w:rPr>
                <w:rFonts w:eastAsia="Calibri"/>
                <w:bCs/>
                <w:sz w:val="20"/>
                <w:szCs w:val="20"/>
              </w:rPr>
              <w:t xml:space="preserve">Κατανοεί τις βασικές έννοιες στη φορολογία εισοδήματος </w:t>
            </w:r>
          </w:p>
          <w:p w14:paraId="7052D087" w14:textId="2C4254D7" w:rsidR="006E751B" w:rsidRPr="00B0612A" w:rsidRDefault="00871569" w:rsidP="00B0612A">
            <w:pPr>
              <w:pStyle w:val="ab"/>
              <w:widowControl w:val="0"/>
              <w:numPr>
                <w:ilvl w:val="0"/>
                <w:numId w:val="47"/>
              </w:numPr>
              <w:autoSpaceDE w:val="0"/>
              <w:autoSpaceDN w:val="0"/>
              <w:adjustRightInd w:val="0"/>
              <w:spacing w:line="360" w:lineRule="auto"/>
              <w:rPr>
                <w:rFonts w:eastAsia="Calibri"/>
                <w:bCs/>
                <w:sz w:val="20"/>
                <w:szCs w:val="20"/>
              </w:rPr>
            </w:pPr>
            <w:r w:rsidRPr="00B0612A">
              <w:rPr>
                <w:rFonts w:eastAsia="Calibri"/>
                <w:bCs/>
                <w:sz w:val="20"/>
                <w:szCs w:val="20"/>
              </w:rPr>
              <w:t>προσδιορίζει</w:t>
            </w:r>
            <w:r w:rsidR="006E751B" w:rsidRPr="00B0612A">
              <w:rPr>
                <w:rFonts w:eastAsia="Calibri"/>
                <w:bCs/>
                <w:sz w:val="20"/>
                <w:szCs w:val="20"/>
              </w:rPr>
              <w:t xml:space="preserve"> </w:t>
            </w:r>
            <w:r w:rsidRPr="00B0612A">
              <w:rPr>
                <w:rFonts w:eastAsia="Calibri"/>
                <w:bCs/>
                <w:sz w:val="20"/>
                <w:szCs w:val="20"/>
              </w:rPr>
              <w:t>τα φορολογικά έξοδα και τις φορολογικές υποχρεώσεις για τα φυσικά και νομικά πρόσωπα</w:t>
            </w:r>
          </w:p>
          <w:p w14:paraId="271F5FA7" w14:textId="77777777" w:rsidR="00F03B25" w:rsidRPr="00B0612A" w:rsidRDefault="00F03B25" w:rsidP="00315EE9">
            <w:pPr>
              <w:widowControl w:val="0"/>
              <w:autoSpaceDE w:val="0"/>
              <w:autoSpaceDN w:val="0"/>
              <w:adjustRightInd w:val="0"/>
              <w:ind w:left="360"/>
              <w:rPr>
                <w:rFonts w:cs="Arial"/>
                <w:i/>
                <w:sz w:val="16"/>
                <w:szCs w:val="16"/>
                <w:lang w:val="el-GR"/>
              </w:rPr>
            </w:pPr>
          </w:p>
        </w:tc>
      </w:tr>
      <w:tr w:rsidR="000F4FD4" w:rsidRPr="00705AAD" w14:paraId="1627EF0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655018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526A4" w14:paraId="5D099C38" w14:textId="77777777" w:rsidTr="00305D37">
        <w:tc>
          <w:tcPr>
            <w:tcW w:w="8472" w:type="dxa"/>
            <w:gridSpan w:val="2"/>
            <w:tcBorders>
              <w:top w:val="nil"/>
              <w:bottom w:val="nil"/>
            </w:tcBorders>
            <w:shd w:val="clear" w:color="auto" w:fill="DDD9C3" w:themeFill="background2" w:themeFillShade="E6"/>
          </w:tcPr>
          <w:p w14:paraId="150ADE9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E529ED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4BB02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56E53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49708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13139A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87CDF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98BC8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2999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90646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0B91C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880E6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404C1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589D9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46D2C7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B502E1F"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E06210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C2D9AC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C97959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526A4" w14:paraId="6FDC5D06" w14:textId="77777777" w:rsidTr="00305D37">
        <w:tc>
          <w:tcPr>
            <w:tcW w:w="8472" w:type="dxa"/>
            <w:gridSpan w:val="2"/>
            <w:tcBorders>
              <w:bottom w:val="single" w:sz="4" w:space="0" w:color="auto"/>
            </w:tcBorders>
          </w:tcPr>
          <w:p w14:paraId="52A487E7" w14:textId="77777777" w:rsidR="000F4FD4" w:rsidRPr="00705AAD" w:rsidRDefault="000F4FD4" w:rsidP="00305D37">
            <w:pPr>
              <w:rPr>
                <w:rFonts w:ascii="Calibri" w:hAnsi="Calibri" w:cs="Arial"/>
                <w:color w:val="002060"/>
                <w:sz w:val="20"/>
                <w:szCs w:val="20"/>
                <w:lang w:val="el-GR"/>
              </w:rPr>
            </w:pPr>
          </w:p>
          <w:p w14:paraId="139E48A9" w14:textId="3E06C214" w:rsidR="003A3826" w:rsidRPr="00B0612A" w:rsidRDefault="003A3826" w:rsidP="00B0612A">
            <w:pPr>
              <w:pStyle w:val="ab"/>
              <w:widowControl w:val="0"/>
              <w:numPr>
                <w:ilvl w:val="0"/>
                <w:numId w:val="49"/>
              </w:numPr>
              <w:autoSpaceDE w:val="0"/>
              <w:autoSpaceDN w:val="0"/>
              <w:adjustRightInd w:val="0"/>
              <w:spacing w:line="360" w:lineRule="auto"/>
              <w:rPr>
                <w:sz w:val="20"/>
                <w:szCs w:val="20"/>
              </w:rPr>
            </w:pPr>
            <w:r w:rsidRPr="00B0612A">
              <w:rPr>
                <w:sz w:val="20"/>
                <w:szCs w:val="20"/>
              </w:rPr>
              <w:t xml:space="preserve">Προσαρμογή σε νέες καταστάσεις </w:t>
            </w:r>
          </w:p>
          <w:p w14:paraId="1B0E279F" w14:textId="2A1DBFC3" w:rsidR="003A3826" w:rsidRPr="00B0612A" w:rsidRDefault="003A3826" w:rsidP="00B0612A">
            <w:pPr>
              <w:pStyle w:val="ab"/>
              <w:widowControl w:val="0"/>
              <w:numPr>
                <w:ilvl w:val="0"/>
                <w:numId w:val="49"/>
              </w:numPr>
              <w:autoSpaceDE w:val="0"/>
              <w:autoSpaceDN w:val="0"/>
              <w:adjustRightInd w:val="0"/>
              <w:spacing w:line="360" w:lineRule="auto"/>
              <w:rPr>
                <w:sz w:val="20"/>
                <w:szCs w:val="20"/>
              </w:rPr>
            </w:pPr>
            <w:r w:rsidRPr="00B0612A">
              <w:rPr>
                <w:sz w:val="20"/>
                <w:szCs w:val="20"/>
              </w:rPr>
              <w:t xml:space="preserve">Λήψη αποφάσεων </w:t>
            </w:r>
          </w:p>
          <w:p w14:paraId="53285159" w14:textId="58ACF3BB" w:rsidR="003A3826" w:rsidRPr="00B0612A" w:rsidRDefault="003A3826" w:rsidP="00B0612A">
            <w:pPr>
              <w:pStyle w:val="ab"/>
              <w:widowControl w:val="0"/>
              <w:numPr>
                <w:ilvl w:val="0"/>
                <w:numId w:val="49"/>
              </w:numPr>
              <w:autoSpaceDE w:val="0"/>
              <w:autoSpaceDN w:val="0"/>
              <w:adjustRightInd w:val="0"/>
              <w:spacing w:line="360" w:lineRule="auto"/>
              <w:rPr>
                <w:sz w:val="20"/>
                <w:szCs w:val="20"/>
              </w:rPr>
            </w:pPr>
            <w:r w:rsidRPr="00B0612A">
              <w:rPr>
                <w:sz w:val="20"/>
                <w:szCs w:val="20"/>
              </w:rPr>
              <w:t>Αυτόνομη εργασία</w:t>
            </w:r>
          </w:p>
          <w:p w14:paraId="019D139B" w14:textId="1D2B5EF8" w:rsidR="003A3826" w:rsidRPr="00B0612A" w:rsidRDefault="003A3826" w:rsidP="00B0612A">
            <w:pPr>
              <w:pStyle w:val="ab"/>
              <w:widowControl w:val="0"/>
              <w:numPr>
                <w:ilvl w:val="0"/>
                <w:numId w:val="49"/>
              </w:numPr>
              <w:autoSpaceDE w:val="0"/>
              <w:autoSpaceDN w:val="0"/>
              <w:adjustRightInd w:val="0"/>
              <w:spacing w:line="360" w:lineRule="auto"/>
              <w:rPr>
                <w:sz w:val="20"/>
                <w:szCs w:val="20"/>
              </w:rPr>
            </w:pPr>
            <w:r w:rsidRPr="00B0612A">
              <w:rPr>
                <w:sz w:val="20"/>
                <w:szCs w:val="20"/>
              </w:rPr>
              <w:t>Εργασία σε διε</w:t>
            </w:r>
            <w:r w:rsidR="007B794C" w:rsidRPr="00B0612A">
              <w:rPr>
                <w:sz w:val="20"/>
                <w:szCs w:val="20"/>
              </w:rPr>
              <w:t>πιστημονικό</w:t>
            </w:r>
            <w:r w:rsidRPr="00B0612A">
              <w:rPr>
                <w:sz w:val="20"/>
                <w:szCs w:val="20"/>
              </w:rPr>
              <w:t xml:space="preserve"> περιβάλλον</w:t>
            </w:r>
          </w:p>
          <w:p w14:paraId="081179FF" w14:textId="55B749D3" w:rsidR="003A3826" w:rsidRPr="00B0612A" w:rsidRDefault="003A3826" w:rsidP="00B0612A">
            <w:pPr>
              <w:pStyle w:val="ab"/>
              <w:widowControl w:val="0"/>
              <w:numPr>
                <w:ilvl w:val="0"/>
                <w:numId w:val="49"/>
              </w:numPr>
              <w:autoSpaceDE w:val="0"/>
              <w:autoSpaceDN w:val="0"/>
              <w:adjustRightInd w:val="0"/>
              <w:spacing w:line="360" w:lineRule="auto"/>
              <w:rPr>
                <w:sz w:val="20"/>
                <w:szCs w:val="20"/>
              </w:rPr>
            </w:pPr>
            <w:r w:rsidRPr="00B0612A">
              <w:rPr>
                <w:sz w:val="20"/>
                <w:szCs w:val="20"/>
              </w:rPr>
              <w:t>Προαγωγή της ελεύθερης, δημιουργικής και επαγωγικής σκέψης</w:t>
            </w:r>
          </w:p>
          <w:p w14:paraId="06A52196" w14:textId="77777777" w:rsidR="000F4FD4" w:rsidRDefault="003A3826" w:rsidP="00B0612A">
            <w:pPr>
              <w:widowControl w:val="0"/>
              <w:autoSpaceDE w:val="0"/>
              <w:autoSpaceDN w:val="0"/>
              <w:adjustRightInd w:val="0"/>
              <w:spacing w:line="360" w:lineRule="auto"/>
              <w:contextualSpacing/>
              <w:rPr>
                <w:sz w:val="20"/>
                <w:szCs w:val="20"/>
                <w:lang w:val="el-GR"/>
              </w:rPr>
            </w:pPr>
            <w:r w:rsidRPr="00B0612A">
              <w:rPr>
                <w:sz w:val="20"/>
                <w:szCs w:val="20"/>
                <w:lang w:val="el-GR"/>
              </w:rPr>
              <w:t xml:space="preserve"> </w:t>
            </w:r>
          </w:p>
          <w:p w14:paraId="6E3E2E30" w14:textId="77777777" w:rsidR="00B0612A" w:rsidRDefault="00B0612A" w:rsidP="00B0612A">
            <w:pPr>
              <w:widowControl w:val="0"/>
              <w:autoSpaceDE w:val="0"/>
              <w:autoSpaceDN w:val="0"/>
              <w:adjustRightInd w:val="0"/>
              <w:spacing w:line="360" w:lineRule="auto"/>
              <w:contextualSpacing/>
              <w:rPr>
                <w:rFonts w:ascii="Calibri" w:hAnsi="Calibri" w:cs="Arial"/>
                <w:i/>
                <w:sz w:val="20"/>
                <w:szCs w:val="20"/>
                <w:lang w:val="el-GR"/>
              </w:rPr>
            </w:pPr>
          </w:p>
          <w:p w14:paraId="1E34EFB3" w14:textId="08062175" w:rsidR="00B0612A" w:rsidRPr="00705AAD" w:rsidRDefault="00B0612A" w:rsidP="00B0612A">
            <w:pPr>
              <w:widowControl w:val="0"/>
              <w:autoSpaceDE w:val="0"/>
              <w:autoSpaceDN w:val="0"/>
              <w:adjustRightInd w:val="0"/>
              <w:spacing w:line="360" w:lineRule="auto"/>
              <w:contextualSpacing/>
              <w:rPr>
                <w:rFonts w:ascii="Calibri" w:hAnsi="Calibri" w:cs="Arial"/>
                <w:i/>
                <w:sz w:val="16"/>
                <w:szCs w:val="16"/>
                <w:lang w:val="el-GR"/>
              </w:rPr>
            </w:pPr>
          </w:p>
        </w:tc>
      </w:tr>
    </w:tbl>
    <w:p w14:paraId="73E9957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0612A" w14:paraId="427D9A01" w14:textId="77777777" w:rsidTr="007673F3">
        <w:tc>
          <w:tcPr>
            <w:tcW w:w="8472" w:type="dxa"/>
          </w:tcPr>
          <w:p w14:paraId="02BA1FAF" w14:textId="40BEEBC4" w:rsidR="007C7C19" w:rsidRPr="00B0612A" w:rsidRDefault="006A15B9" w:rsidP="00B0612A">
            <w:pPr>
              <w:spacing w:line="360" w:lineRule="auto"/>
              <w:contextualSpacing/>
              <w:jc w:val="both"/>
              <w:rPr>
                <w:rFonts w:ascii="Calibri" w:eastAsia="Calibri" w:hAnsi="Calibri"/>
                <w:iCs/>
                <w:sz w:val="20"/>
                <w:szCs w:val="20"/>
                <w:lang w:val="el-GR"/>
              </w:rPr>
            </w:pPr>
            <w:r w:rsidRPr="00B0612A">
              <w:rPr>
                <w:rFonts w:ascii="Calibri" w:eastAsia="Calibri" w:hAnsi="Calibri"/>
                <w:iCs/>
                <w:sz w:val="20"/>
                <w:szCs w:val="20"/>
                <w:lang w:val="el-GR"/>
              </w:rPr>
              <w:t>Ενδεικτικά αλλά όχι περιοριστικά η παρουσίαση του μαθήματος θα ακολουθήσει την πιο κάτω δομή:</w:t>
            </w:r>
          </w:p>
          <w:p w14:paraId="77678CF3" w14:textId="77777777" w:rsidR="006A15B9" w:rsidRPr="00B0612A" w:rsidRDefault="006A15B9" w:rsidP="00B0612A">
            <w:pPr>
              <w:spacing w:line="360" w:lineRule="auto"/>
              <w:contextualSpacing/>
              <w:jc w:val="both"/>
              <w:rPr>
                <w:rFonts w:ascii="Calibri" w:eastAsia="Calibri" w:hAnsi="Calibri"/>
                <w:iCs/>
                <w:sz w:val="20"/>
                <w:szCs w:val="20"/>
                <w:lang w:val="el-GR"/>
              </w:rPr>
            </w:pPr>
          </w:p>
          <w:p w14:paraId="5BE5638E" w14:textId="22BD6107" w:rsidR="00C630E5" w:rsidRPr="00B0612A" w:rsidRDefault="007B794C" w:rsidP="00B0612A">
            <w:pPr>
              <w:pStyle w:val="ab"/>
              <w:numPr>
                <w:ilvl w:val="0"/>
                <w:numId w:val="50"/>
              </w:numPr>
              <w:spacing w:line="360" w:lineRule="auto"/>
              <w:jc w:val="both"/>
              <w:rPr>
                <w:rFonts w:eastAsia="Calibri"/>
                <w:iCs/>
                <w:sz w:val="20"/>
                <w:szCs w:val="20"/>
              </w:rPr>
            </w:pPr>
            <w:r w:rsidRPr="00B0612A">
              <w:rPr>
                <w:rFonts w:eastAsia="Calibri"/>
                <w:iCs/>
                <w:sz w:val="20"/>
                <w:szCs w:val="20"/>
              </w:rPr>
              <w:t>Βασικές Έννοιες στη Φορολογία Εισοδήματος</w:t>
            </w:r>
          </w:p>
          <w:p w14:paraId="564000C4" w14:textId="1386C934" w:rsidR="007B794C" w:rsidRPr="00B0612A" w:rsidRDefault="007B794C" w:rsidP="00B0612A">
            <w:pPr>
              <w:pStyle w:val="ab"/>
              <w:numPr>
                <w:ilvl w:val="0"/>
                <w:numId w:val="50"/>
              </w:numPr>
              <w:spacing w:line="360" w:lineRule="auto"/>
              <w:jc w:val="both"/>
              <w:rPr>
                <w:rFonts w:eastAsia="Calibri"/>
                <w:iCs/>
                <w:sz w:val="20"/>
                <w:szCs w:val="20"/>
              </w:rPr>
            </w:pPr>
            <w:r w:rsidRPr="00B0612A">
              <w:rPr>
                <w:rFonts w:eastAsia="Calibri"/>
                <w:iCs/>
                <w:sz w:val="20"/>
                <w:szCs w:val="20"/>
              </w:rPr>
              <w:t>Εισόδημα από Μισθούς, Συντάξεις και Συμβάσεις</w:t>
            </w:r>
          </w:p>
          <w:p w14:paraId="34E18EE8" w14:textId="71C05E76" w:rsidR="007B794C" w:rsidRPr="00B0612A" w:rsidRDefault="007B794C" w:rsidP="00B0612A">
            <w:pPr>
              <w:pStyle w:val="ab"/>
              <w:numPr>
                <w:ilvl w:val="0"/>
                <w:numId w:val="50"/>
              </w:numPr>
              <w:spacing w:line="360" w:lineRule="auto"/>
              <w:jc w:val="both"/>
              <w:rPr>
                <w:rFonts w:eastAsia="Calibri"/>
                <w:iCs/>
                <w:sz w:val="20"/>
                <w:szCs w:val="20"/>
              </w:rPr>
            </w:pPr>
            <w:r w:rsidRPr="00B0612A">
              <w:rPr>
                <w:rFonts w:eastAsia="Calibri"/>
                <w:iCs/>
                <w:sz w:val="20"/>
                <w:szCs w:val="20"/>
              </w:rPr>
              <w:t>Κέρδη από Επιχειρηματική Δραστηριότητα</w:t>
            </w:r>
          </w:p>
          <w:p w14:paraId="7BF4DAFC" w14:textId="62867EFE" w:rsidR="007B794C" w:rsidRPr="00B0612A" w:rsidRDefault="007B794C" w:rsidP="00B0612A">
            <w:pPr>
              <w:pStyle w:val="ab"/>
              <w:numPr>
                <w:ilvl w:val="0"/>
                <w:numId w:val="50"/>
              </w:numPr>
              <w:spacing w:line="360" w:lineRule="auto"/>
              <w:jc w:val="both"/>
              <w:rPr>
                <w:rFonts w:eastAsia="Calibri"/>
                <w:iCs/>
                <w:sz w:val="20"/>
                <w:szCs w:val="20"/>
              </w:rPr>
            </w:pPr>
            <w:r w:rsidRPr="00B0612A">
              <w:rPr>
                <w:rFonts w:eastAsia="Calibri"/>
                <w:iCs/>
                <w:sz w:val="20"/>
                <w:szCs w:val="20"/>
              </w:rPr>
              <w:t>Εισόδημα από Κεφάλαιο</w:t>
            </w:r>
          </w:p>
          <w:p w14:paraId="5CC2C025" w14:textId="0F78C375" w:rsidR="007B794C" w:rsidRPr="00B0612A" w:rsidRDefault="007B794C" w:rsidP="00B0612A">
            <w:pPr>
              <w:pStyle w:val="ab"/>
              <w:numPr>
                <w:ilvl w:val="0"/>
                <w:numId w:val="50"/>
              </w:numPr>
              <w:spacing w:line="360" w:lineRule="auto"/>
              <w:jc w:val="both"/>
              <w:rPr>
                <w:rFonts w:eastAsia="Calibri"/>
                <w:iCs/>
                <w:sz w:val="20"/>
                <w:szCs w:val="20"/>
              </w:rPr>
            </w:pPr>
            <w:r w:rsidRPr="00B0612A">
              <w:rPr>
                <w:rFonts w:eastAsia="Calibri"/>
                <w:iCs/>
                <w:sz w:val="20"/>
                <w:szCs w:val="20"/>
              </w:rPr>
              <w:t>Εναλλακτικοί Μέθοδοι Προσδιορισμού Φορολογητέου Εισοδήματος</w:t>
            </w:r>
          </w:p>
          <w:p w14:paraId="26EF0B57" w14:textId="156BFC4E" w:rsidR="007B794C" w:rsidRPr="00B0612A" w:rsidRDefault="007B794C" w:rsidP="00B0612A">
            <w:pPr>
              <w:pStyle w:val="ab"/>
              <w:numPr>
                <w:ilvl w:val="0"/>
                <w:numId w:val="50"/>
              </w:numPr>
              <w:spacing w:line="360" w:lineRule="auto"/>
              <w:jc w:val="both"/>
              <w:rPr>
                <w:rFonts w:eastAsia="Calibri"/>
                <w:iCs/>
                <w:sz w:val="20"/>
                <w:szCs w:val="20"/>
              </w:rPr>
            </w:pPr>
            <w:r w:rsidRPr="00B0612A">
              <w:rPr>
                <w:rFonts w:eastAsia="Calibri"/>
                <w:iCs/>
                <w:sz w:val="20"/>
                <w:szCs w:val="20"/>
              </w:rPr>
              <w:t>Φορολογία Εισοδήματος Νομικών Προσώπων</w:t>
            </w:r>
          </w:p>
          <w:p w14:paraId="089D4CA4" w14:textId="50FB052D" w:rsidR="007B794C" w:rsidRPr="00B0612A" w:rsidRDefault="007B794C" w:rsidP="00B0612A">
            <w:pPr>
              <w:pStyle w:val="ab"/>
              <w:numPr>
                <w:ilvl w:val="0"/>
                <w:numId w:val="50"/>
              </w:numPr>
              <w:spacing w:line="360" w:lineRule="auto"/>
              <w:jc w:val="both"/>
              <w:rPr>
                <w:rFonts w:eastAsia="Calibri"/>
                <w:iCs/>
                <w:sz w:val="20"/>
                <w:szCs w:val="20"/>
              </w:rPr>
            </w:pPr>
            <w:proofErr w:type="spellStart"/>
            <w:r w:rsidRPr="00B0612A">
              <w:rPr>
                <w:rFonts w:eastAsia="Calibri"/>
                <w:iCs/>
                <w:sz w:val="20"/>
                <w:szCs w:val="20"/>
              </w:rPr>
              <w:t>Εκπιπτόμενες</w:t>
            </w:r>
            <w:proofErr w:type="spellEnd"/>
            <w:r w:rsidRPr="00B0612A">
              <w:rPr>
                <w:rFonts w:eastAsia="Calibri"/>
                <w:iCs/>
                <w:sz w:val="20"/>
                <w:szCs w:val="20"/>
              </w:rPr>
              <w:t xml:space="preserve"> και Μη </w:t>
            </w:r>
            <w:proofErr w:type="spellStart"/>
            <w:r w:rsidRPr="00B0612A">
              <w:rPr>
                <w:rFonts w:eastAsia="Calibri"/>
                <w:iCs/>
                <w:sz w:val="20"/>
                <w:szCs w:val="20"/>
              </w:rPr>
              <w:t>Εκπιπτόμενες</w:t>
            </w:r>
            <w:proofErr w:type="spellEnd"/>
            <w:r w:rsidRPr="00B0612A">
              <w:rPr>
                <w:rFonts w:eastAsia="Calibri"/>
                <w:iCs/>
                <w:sz w:val="20"/>
                <w:szCs w:val="20"/>
              </w:rPr>
              <w:t xml:space="preserve"> Δαπάνες</w:t>
            </w:r>
          </w:p>
          <w:p w14:paraId="36B8FCA0" w14:textId="627ED97A" w:rsidR="007B794C" w:rsidRDefault="007B794C" w:rsidP="00B0612A">
            <w:pPr>
              <w:spacing w:line="360" w:lineRule="auto"/>
              <w:contextualSpacing/>
              <w:jc w:val="both"/>
              <w:rPr>
                <w:rFonts w:ascii="Calibri" w:eastAsia="Calibri" w:hAnsi="Calibri"/>
                <w:iCs/>
                <w:color w:val="002060"/>
                <w:lang w:val="el-GR"/>
              </w:rPr>
            </w:pPr>
          </w:p>
          <w:p w14:paraId="376A08D8" w14:textId="77777777" w:rsidR="00B0612A" w:rsidRDefault="00B0612A" w:rsidP="00B0612A">
            <w:pPr>
              <w:spacing w:line="360" w:lineRule="auto"/>
              <w:contextualSpacing/>
              <w:jc w:val="both"/>
              <w:rPr>
                <w:rFonts w:ascii="Calibri" w:eastAsia="Calibri" w:hAnsi="Calibri"/>
                <w:iCs/>
                <w:color w:val="002060"/>
                <w:lang w:val="el-GR"/>
              </w:rPr>
            </w:pPr>
          </w:p>
          <w:p w14:paraId="00E95B45" w14:textId="77777777" w:rsidR="00F03B25" w:rsidRDefault="00F03B25" w:rsidP="007673F3">
            <w:pPr>
              <w:rPr>
                <w:rFonts w:ascii="Calibri" w:eastAsia="Calibri" w:hAnsi="Calibri"/>
                <w:iCs/>
                <w:color w:val="002060"/>
                <w:lang w:val="el-GR"/>
              </w:rPr>
            </w:pPr>
          </w:p>
          <w:p w14:paraId="135F1A38" w14:textId="77777777" w:rsidR="000F4FD4" w:rsidRPr="00705AAD" w:rsidRDefault="000F4FD4" w:rsidP="007673F3">
            <w:pPr>
              <w:rPr>
                <w:rFonts w:ascii="Calibri" w:hAnsi="Calibri" w:cs="Arial"/>
                <w:color w:val="002060"/>
                <w:sz w:val="20"/>
                <w:szCs w:val="20"/>
                <w:lang w:val="el-GR"/>
              </w:rPr>
            </w:pPr>
          </w:p>
        </w:tc>
      </w:tr>
    </w:tbl>
    <w:p w14:paraId="6789FE87"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F66141" w14:textId="0C163A49" w:rsidR="00271F7D" w:rsidRDefault="00271F7D">
      <w:pPr>
        <w:rPr>
          <w:rFonts w:ascii="Calibri" w:hAnsi="Calibri" w:cs="Arial"/>
          <w:b/>
          <w:color w:val="000000"/>
          <w:sz w:val="22"/>
          <w:szCs w:val="22"/>
          <w:lang w:val="el-GR"/>
        </w:rPr>
      </w:pPr>
    </w:p>
    <w:p w14:paraId="0DFDB6C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B4AF8" w14:paraId="5BACF192" w14:textId="77777777" w:rsidTr="007673F3">
        <w:tc>
          <w:tcPr>
            <w:tcW w:w="3306" w:type="dxa"/>
            <w:shd w:val="clear" w:color="auto" w:fill="DDD9C3" w:themeFill="background2" w:themeFillShade="E6"/>
          </w:tcPr>
          <w:p w14:paraId="5959EB06" w14:textId="77777777" w:rsidR="000F4FD4" w:rsidRPr="00B0612A" w:rsidRDefault="000F4FD4" w:rsidP="007673F3">
            <w:pPr>
              <w:jc w:val="right"/>
              <w:rPr>
                <w:rFonts w:ascii="Calibri" w:hAnsi="Calibri" w:cs="Arial"/>
                <w:b/>
                <w:sz w:val="20"/>
                <w:szCs w:val="20"/>
                <w:lang w:val="el-GR"/>
              </w:rPr>
            </w:pPr>
            <w:r w:rsidRPr="00B0612A">
              <w:rPr>
                <w:rFonts w:ascii="Calibri" w:hAnsi="Calibri" w:cs="Arial"/>
                <w:b/>
                <w:sz w:val="20"/>
                <w:szCs w:val="20"/>
                <w:lang w:val="el-GR"/>
              </w:rPr>
              <w:t>ΤΡΟΠΟΣ ΠΑΡΑΔΟΣΗΣ</w:t>
            </w:r>
            <w:r w:rsidRPr="00B0612A">
              <w:rPr>
                <w:rFonts w:ascii="Calibri" w:hAnsi="Calibri" w:cs="Arial"/>
                <w:b/>
                <w:sz w:val="20"/>
                <w:szCs w:val="20"/>
                <w:lang w:val="el-GR"/>
              </w:rPr>
              <w:br/>
            </w:r>
            <w:r w:rsidRPr="00B0612A">
              <w:rPr>
                <w:rFonts w:ascii="Calibri" w:hAnsi="Calibri" w:cs="Arial"/>
                <w:i/>
                <w:sz w:val="16"/>
                <w:szCs w:val="16"/>
                <w:lang w:val="el-GR"/>
              </w:rPr>
              <w:t>Πρόσωπο με πρόσωπο, Εξ αποστάσεως εκπαίδευση κ.λπ.</w:t>
            </w:r>
          </w:p>
        </w:tc>
        <w:tc>
          <w:tcPr>
            <w:tcW w:w="5166" w:type="dxa"/>
          </w:tcPr>
          <w:p w14:paraId="699A333F" w14:textId="42EFCC5B" w:rsidR="000F4FD4" w:rsidRPr="00B0612A" w:rsidRDefault="00E15122" w:rsidP="007673F3">
            <w:pPr>
              <w:spacing w:after="200" w:line="276" w:lineRule="auto"/>
              <w:rPr>
                <w:rFonts w:ascii="Calibri" w:eastAsia="Calibri" w:hAnsi="Calibri"/>
                <w:iCs/>
                <w:lang w:val="el-GR"/>
              </w:rPr>
            </w:pPr>
            <w:r w:rsidRPr="00B0612A">
              <w:rPr>
                <w:rFonts w:ascii="Calibri" w:eastAsia="Calibri" w:hAnsi="Calibri"/>
                <w:iCs/>
                <w:lang w:val="el-GR"/>
              </w:rPr>
              <w:t>Πρόσωπο με πρόσωπο</w:t>
            </w:r>
          </w:p>
        </w:tc>
      </w:tr>
      <w:tr w:rsidR="000F4FD4" w:rsidRPr="009526A4" w14:paraId="3265CA69" w14:textId="77777777" w:rsidTr="007673F3">
        <w:tc>
          <w:tcPr>
            <w:tcW w:w="3306" w:type="dxa"/>
            <w:shd w:val="clear" w:color="auto" w:fill="DDD9C3" w:themeFill="background2" w:themeFillShade="E6"/>
          </w:tcPr>
          <w:p w14:paraId="14BC474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E67D3E2" w14:textId="77777777" w:rsidR="000F4FD4" w:rsidRPr="00B0612A" w:rsidRDefault="00E15122" w:rsidP="00E15122">
            <w:pPr>
              <w:pStyle w:val="ab"/>
              <w:numPr>
                <w:ilvl w:val="0"/>
                <w:numId w:val="46"/>
              </w:numPr>
              <w:rPr>
                <w:rFonts w:cs="Arial"/>
                <w:bCs/>
                <w:sz w:val="20"/>
                <w:szCs w:val="20"/>
              </w:rPr>
            </w:pPr>
            <w:r w:rsidRPr="00B0612A">
              <w:rPr>
                <w:rFonts w:cs="Arial"/>
                <w:bCs/>
                <w:sz w:val="20"/>
                <w:szCs w:val="20"/>
              </w:rPr>
              <w:t xml:space="preserve">Χρήση ΤΠΕ στη Διδασκαλία (παρουσιάσεις σε </w:t>
            </w:r>
            <w:proofErr w:type="spellStart"/>
            <w:r w:rsidRPr="00B0612A">
              <w:rPr>
                <w:rFonts w:cs="Arial"/>
                <w:bCs/>
                <w:sz w:val="20"/>
                <w:szCs w:val="20"/>
              </w:rPr>
              <w:t>powerpoint</w:t>
            </w:r>
            <w:proofErr w:type="spellEnd"/>
            <w:r w:rsidRPr="00B0612A">
              <w:rPr>
                <w:rFonts w:cs="Arial"/>
                <w:bCs/>
                <w:sz w:val="20"/>
                <w:szCs w:val="20"/>
              </w:rPr>
              <w:t>)</w:t>
            </w:r>
          </w:p>
          <w:p w14:paraId="59781511" w14:textId="77777777" w:rsidR="00E15122" w:rsidRPr="00B0612A" w:rsidRDefault="00E15122" w:rsidP="00E15122">
            <w:pPr>
              <w:pStyle w:val="ab"/>
              <w:numPr>
                <w:ilvl w:val="0"/>
                <w:numId w:val="46"/>
              </w:numPr>
              <w:rPr>
                <w:rFonts w:cs="Arial"/>
                <w:bCs/>
                <w:sz w:val="20"/>
                <w:szCs w:val="20"/>
              </w:rPr>
            </w:pPr>
            <w:r w:rsidRPr="00B0612A">
              <w:rPr>
                <w:rFonts w:cs="Arial"/>
                <w:bCs/>
                <w:sz w:val="20"/>
                <w:szCs w:val="20"/>
              </w:rPr>
              <w:t xml:space="preserve">Επικοινωνία με τους φοιτητές μέσω της πλατφόρμας του </w:t>
            </w:r>
            <w:proofErr w:type="spellStart"/>
            <w:r w:rsidRPr="00B0612A">
              <w:rPr>
                <w:rFonts w:cs="Arial"/>
                <w:bCs/>
                <w:sz w:val="20"/>
                <w:szCs w:val="20"/>
              </w:rPr>
              <w:t>eclass</w:t>
            </w:r>
            <w:proofErr w:type="spellEnd"/>
            <w:r w:rsidRPr="00B0612A">
              <w:rPr>
                <w:rFonts w:cs="Arial"/>
                <w:bCs/>
                <w:sz w:val="20"/>
                <w:szCs w:val="20"/>
              </w:rPr>
              <w:t xml:space="preserve"> και email.</w:t>
            </w:r>
          </w:p>
          <w:p w14:paraId="16075573" w14:textId="4EBCEE25" w:rsidR="00E15122" w:rsidRPr="00E15122" w:rsidRDefault="00E15122" w:rsidP="00E15122">
            <w:pPr>
              <w:pStyle w:val="ab"/>
              <w:numPr>
                <w:ilvl w:val="0"/>
                <w:numId w:val="46"/>
              </w:numPr>
              <w:rPr>
                <w:rFonts w:cs="Arial"/>
                <w:b/>
                <w:color w:val="002060"/>
                <w:sz w:val="20"/>
                <w:szCs w:val="20"/>
              </w:rPr>
            </w:pPr>
            <w:r w:rsidRPr="00B0612A">
              <w:rPr>
                <w:rFonts w:cs="Arial"/>
                <w:bCs/>
                <w:sz w:val="20"/>
                <w:szCs w:val="20"/>
              </w:rPr>
              <w:t>Ανάρτηση διαφανειών και υλικού μαθήματος στην πλατφόρμα του e-</w:t>
            </w:r>
            <w:proofErr w:type="spellStart"/>
            <w:r w:rsidRPr="00B0612A">
              <w:rPr>
                <w:rFonts w:cs="Arial"/>
                <w:bCs/>
                <w:sz w:val="20"/>
                <w:szCs w:val="20"/>
              </w:rPr>
              <w:t>class</w:t>
            </w:r>
            <w:proofErr w:type="spellEnd"/>
          </w:p>
        </w:tc>
      </w:tr>
      <w:tr w:rsidR="000F4FD4" w:rsidRPr="00705AAD" w14:paraId="1333BFAD" w14:textId="77777777" w:rsidTr="007673F3">
        <w:tc>
          <w:tcPr>
            <w:tcW w:w="3306" w:type="dxa"/>
            <w:shd w:val="clear" w:color="auto" w:fill="DDD9C3" w:themeFill="background2" w:themeFillShade="E6"/>
          </w:tcPr>
          <w:p w14:paraId="0612E9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8FC9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D2FA50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7DBDBFB" w14:textId="77777777" w:rsidR="000F4FD4" w:rsidRPr="00705AAD" w:rsidRDefault="000F4FD4" w:rsidP="007673F3">
            <w:pPr>
              <w:jc w:val="both"/>
              <w:rPr>
                <w:rFonts w:ascii="Calibri" w:hAnsi="Calibri" w:cs="Arial"/>
                <w:i/>
                <w:sz w:val="16"/>
                <w:szCs w:val="16"/>
                <w:lang w:val="el-GR"/>
              </w:rPr>
            </w:pPr>
          </w:p>
          <w:p w14:paraId="48931A7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0612A" w:rsidRPr="00B0612A" w14:paraId="61149112" w14:textId="77777777" w:rsidTr="007673F3">
              <w:tc>
                <w:tcPr>
                  <w:tcW w:w="2467" w:type="dxa"/>
                  <w:shd w:val="clear" w:color="auto" w:fill="DDD9C3" w:themeFill="background2" w:themeFillShade="E6"/>
                  <w:vAlign w:val="center"/>
                </w:tcPr>
                <w:p w14:paraId="4E6BA28C" w14:textId="77777777" w:rsidR="000F4FD4" w:rsidRPr="00B0612A" w:rsidRDefault="000F4FD4" w:rsidP="007673F3">
                  <w:pPr>
                    <w:jc w:val="center"/>
                    <w:rPr>
                      <w:rFonts w:ascii="Calibri" w:hAnsi="Calibri" w:cs="Arial"/>
                      <w:b/>
                      <w:i/>
                      <w:sz w:val="20"/>
                      <w:szCs w:val="20"/>
                    </w:rPr>
                  </w:pPr>
                  <w:proofErr w:type="spellStart"/>
                  <w:r w:rsidRPr="00B0612A">
                    <w:rPr>
                      <w:rFonts w:ascii="Calibri" w:hAnsi="Calibri" w:cs="Arial"/>
                      <w:b/>
                      <w:i/>
                      <w:sz w:val="20"/>
                      <w:szCs w:val="20"/>
                    </w:rPr>
                    <w:t>Δρ</w:t>
                  </w:r>
                  <w:proofErr w:type="spellEnd"/>
                  <w:r w:rsidRPr="00B0612A">
                    <w:rPr>
                      <w:rFonts w:ascii="Calibri" w:hAnsi="Calibri" w:cs="Arial"/>
                      <w:b/>
                      <w:i/>
                      <w:sz w:val="20"/>
                      <w:szCs w:val="20"/>
                    </w:rPr>
                    <w:t>αστηριότητα</w:t>
                  </w:r>
                </w:p>
              </w:tc>
              <w:tc>
                <w:tcPr>
                  <w:tcW w:w="2468" w:type="dxa"/>
                  <w:shd w:val="clear" w:color="auto" w:fill="DDD9C3" w:themeFill="background2" w:themeFillShade="E6"/>
                  <w:vAlign w:val="center"/>
                </w:tcPr>
                <w:p w14:paraId="1247A1BD" w14:textId="77777777" w:rsidR="000F4FD4" w:rsidRPr="00B0612A" w:rsidRDefault="000F4FD4" w:rsidP="007673F3">
                  <w:pPr>
                    <w:jc w:val="center"/>
                    <w:rPr>
                      <w:rFonts w:ascii="Calibri" w:hAnsi="Calibri" w:cs="Arial"/>
                      <w:b/>
                      <w:i/>
                      <w:sz w:val="20"/>
                      <w:szCs w:val="20"/>
                    </w:rPr>
                  </w:pPr>
                  <w:proofErr w:type="spellStart"/>
                  <w:r w:rsidRPr="00B0612A">
                    <w:rPr>
                      <w:rFonts w:ascii="Calibri" w:hAnsi="Calibri" w:cs="Arial"/>
                      <w:b/>
                      <w:i/>
                      <w:sz w:val="20"/>
                      <w:szCs w:val="20"/>
                    </w:rPr>
                    <w:t>Φόρτος</w:t>
                  </w:r>
                  <w:proofErr w:type="spellEnd"/>
                  <w:r w:rsidRPr="00B0612A">
                    <w:rPr>
                      <w:rFonts w:ascii="Calibri" w:hAnsi="Calibri" w:cs="Arial"/>
                      <w:b/>
                      <w:i/>
                      <w:sz w:val="20"/>
                      <w:szCs w:val="20"/>
                    </w:rPr>
                    <w:t xml:space="preserve"> </w:t>
                  </w:r>
                  <w:proofErr w:type="spellStart"/>
                  <w:r w:rsidRPr="00B0612A">
                    <w:rPr>
                      <w:rFonts w:ascii="Calibri" w:hAnsi="Calibri" w:cs="Arial"/>
                      <w:b/>
                      <w:i/>
                      <w:sz w:val="20"/>
                      <w:szCs w:val="20"/>
                    </w:rPr>
                    <w:t>Εργ</w:t>
                  </w:r>
                  <w:proofErr w:type="spellEnd"/>
                  <w:r w:rsidRPr="00B0612A">
                    <w:rPr>
                      <w:rFonts w:ascii="Calibri" w:hAnsi="Calibri" w:cs="Arial"/>
                      <w:b/>
                      <w:i/>
                      <w:sz w:val="20"/>
                      <w:szCs w:val="20"/>
                    </w:rPr>
                    <w:t xml:space="preserve">ασίας </w:t>
                  </w:r>
                  <w:proofErr w:type="spellStart"/>
                  <w:r w:rsidRPr="00B0612A">
                    <w:rPr>
                      <w:rFonts w:ascii="Calibri" w:hAnsi="Calibri" w:cs="Arial"/>
                      <w:b/>
                      <w:i/>
                      <w:sz w:val="20"/>
                      <w:szCs w:val="20"/>
                    </w:rPr>
                    <w:t>Εξ</w:t>
                  </w:r>
                  <w:proofErr w:type="spellEnd"/>
                  <w:r w:rsidRPr="00B0612A">
                    <w:rPr>
                      <w:rFonts w:ascii="Calibri" w:hAnsi="Calibri" w:cs="Arial"/>
                      <w:b/>
                      <w:i/>
                      <w:sz w:val="20"/>
                      <w:szCs w:val="20"/>
                    </w:rPr>
                    <w:t>αμήνου</w:t>
                  </w:r>
                </w:p>
              </w:tc>
            </w:tr>
            <w:tr w:rsidR="00B0612A" w:rsidRPr="00B0612A" w14:paraId="61526912" w14:textId="77777777" w:rsidTr="007673F3">
              <w:tc>
                <w:tcPr>
                  <w:tcW w:w="2467" w:type="dxa"/>
                </w:tcPr>
                <w:p w14:paraId="6D0E4F54" w14:textId="3C706A27" w:rsidR="000F4FD4" w:rsidRPr="00B0612A" w:rsidRDefault="00E15122" w:rsidP="002B4AF8">
                  <w:pPr>
                    <w:jc w:val="both"/>
                    <w:rPr>
                      <w:rFonts w:ascii="Calibri" w:hAnsi="Calibri"/>
                      <w:iCs/>
                      <w:sz w:val="22"/>
                      <w:szCs w:val="22"/>
                      <w:lang w:val="el-GR"/>
                    </w:rPr>
                  </w:pPr>
                  <w:r w:rsidRPr="00B0612A">
                    <w:rPr>
                      <w:rFonts w:ascii="Calibri" w:hAnsi="Calibri"/>
                      <w:iCs/>
                      <w:sz w:val="22"/>
                      <w:szCs w:val="22"/>
                      <w:lang w:val="el-GR"/>
                    </w:rPr>
                    <w:t>Διαλέξεις</w:t>
                  </w:r>
                </w:p>
              </w:tc>
              <w:tc>
                <w:tcPr>
                  <w:tcW w:w="2468" w:type="dxa"/>
                </w:tcPr>
                <w:p w14:paraId="59064A04" w14:textId="3D8A1C44" w:rsidR="000F4FD4" w:rsidRPr="00B0612A" w:rsidRDefault="002B4AF8" w:rsidP="007673F3">
                  <w:pPr>
                    <w:jc w:val="center"/>
                    <w:rPr>
                      <w:rFonts w:ascii="Calibri" w:hAnsi="Calibri" w:cs="Arial"/>
                      <w:sz w:val="20"/>
                      <w:szCs w:val="20"/>
                    </w:rPr>
                  </w:pPr>
                  <w:r w:rsidRPr="00B0612A">
                    <w:rPr>
                      <w:rFonts w:ascii="Calibri" w:hAnsi="Calibri" w:cs="Arial"/>
                      <w:sz w:val="20"/>
                      <w:szCs w:val="20"/>
                      <w:lang w:val="el-GR"/>
                    </w:rPr>
                    <w:t>3</w:t>
                  </w:r>
                  <w:r w:rsidR="00E15122" w:rsidRPr="00B0612A">
                    <w:rPr>
                      <w:rFonts w:ascii="Calibri" w:hAnsi="Calibri" w:cs="Arial"/>
                      <w:sz w:val="20"/>
                      <w:szCs w:val="20"/>
                    </w:rPr>
                    <w:t>9</w:t>
                  </w:r>
                </w:p>
              </w:tc>
            </w:tr>
            <w:tr w:rsidR="00B0612A" w:rsidRPr="00B0612A" w14:paraId="46EF3398" w14:textId="77777777" w:rsidTr="007673F3">
              <w:tc>
                <w:tcPr>
                  <w:tcW w:w="2467" w:type="dxa"/>
                  <w:shd w:val="clear" w:color="auto" w:fill="auto"/>
                </w:tcPr>
                <w:p w14:paraId="3195CDC7" w14:textId="37B6F6B1" w:rsidR="000F4FD4" w:rsidRPr="00B0612A" w:rsidRDefault="004F507F" w:rsidP="007673F3">
                  <w:pPr>
                    <w:rPr>
                      <w:rFonts w:ascii="Calibri" w:hAnsi="Calibri"/>
                      <w:iCs/>
                      <w:sz w:val="22"/>
                      <w:szCs w:val="22"/>
                      <w:lang w:val="el-GR"/>
                    </w:rPr>
                  </w:pPr>
                  <w:r w:rsidRPr="00B0612A">
                    <w:rPr>
                      <w:rFonts w:ascii="Calibri" w:hAnsi="Calibri"/>
                      <w:iCs/>
                      <w:sz w:val="22"/>
                      <w:szCs w:val="22"/>
                      <w:lang w:val="el-GR"/>
                    </w:rPr>
                    <w:t>Ασκήσεις Εξάσκησης που εστιάζουν στην εφαρμογή μεθοδολογιών και ανάλυση μελετών περίπτωσης</w:t>
                  </w:r>
                </w:p>
              </w:tc>
              <w:tc>
                <w:tcPr>
                  <w:tcW w:w="2468" w:type="dxa"/>
                </w:tcPr>
                <w:p w14:paraId="5B0416E5" w14:textId="7BE95046" w:rsidR="000F4FD4" w:rsidRPr="00B0612A" w:rsidRDefault="004F507F" w:rsidP="007673F3">
                  <w:pPr>
                    <w:jc w:val="center"/>
                    <w:rPr>
                      <w:rFonts w:ascii="Calibri" w:hAnsi="Calibri" w:cs="Arial"/>
                      <w:sz w:val="20"/>
                      <w:szCs w:val="20"/>
                      <w:lang w:val="el-GR"/>
                    </w:rPr>
                  </w:pPr>
                  <w:r w:rsidRPr="00B0612A">
                    <w:rPr>
                      <w:rFonts w:ascii="Calibri" w:hAnsi="Calibri" w:cs="Arial"/>
                      <w:sz w:val="20"/>
                      <w:szCs w:val="20"/>
                      <w:lang w:val="el-GR"/>
                    </w:rPr>
                    <w:t>41</w:t>
                  </w:r>
                </w:p>
              </w:tc>
            </w:tr>
            <w:tr w:rsidR="00B0612A" w:rsidRPr="00B0612A" w14:paraId="13877559" w14:textId="77777777" w:rsidTr="007673F3">
              <w:tc>
                <w:tcPr>
                  <w:tcW w:w="2467" w:type="dxa"/>
                  <w:shd w:val="clear" w:color="auto" w:fill="auto"/>
                </w:tcPr>
                <w:p w14:paraId="619B3757" w14:textId="6B3679A1" w:rsidR="000F4FD4" w:rsidRPr="00B0612A" w:rsidRDefault="004F507F" w:rsidP="007673F3">
                  <w:pPr>
                    <w:rPr>
                      <w:rFonts w:ascii="Calibri" w:hAnsi="Calibri"/>
                      <w:iCs/>
                      <w:sz w:val="22"/>
                      <w:szCs w:val="22"/>
                      <w:lang w:val="el-GR"/>
                    </w:rPr>
                  </w:pPr>
                  <w:r w:rsidRPr="00B0612A">
                    <w:rPr>
                      <w:rFonts w:ascii="Calibri" w:hAnsi="Calibri"/>
                      <w:iCs/>
                      <w:sz w:val="22"/>
                      <w:szCs w:val="22"/>
                      <w:lang w:val="el-GR"/>
                    </w:rPr>
                    <w:t>Αυτοτελής Μελέτη</w:t>
                  </w:r>
                </w:p>
              </w:tc>
              <w:tc>
                <w:tcPr>
                  <w:tcW w:w="2468" w:type="dxa"/>
                </w:tcPr>
                <w:p w14:paraId="1AA6FEBE" w14:textId="445C40D1" w:rsidR="000F4FD4" w:rsidRPr="00B0612A" w:rsidRDefault="004F507F" w:rsidP="007673F3">
                  <w:pPr>
                    <w:jc w:val="center"/>
                    <w:rPr>
                      <w:rFonts w:ascii="Calibri" w:hAnsi="Calibri" w:cs="Arial"/>
                      <w:sz w:val="20"/>
                      <w:szCs w:val="20"/>
                      <w:lang w:val="el-GR"/>
                    </w:rPr>
                  </w:pPr>
                  <w:r w:rsidRPr="00B0612A">
                    <w:rPr>
                      <w:rFonts w:ascii="Calibri" w:hAnsi="Calibri" w:cs="Arial"/>
                      <w:sz w:val="20"/>
                      <w:szCs w:val="20"/>
                      <w:lang w:val="el-GR"/>
                    </w:rPr>
                    <w:t>70</w:t>
                  </w:r>
                </w:p>
              </w:tc>
            </w:tr>
            <w:tr w:rsidR="00B0612A" w:rsidRPr="00B0612A" w14:paraId="661A5FCE" w14:textId="77777777" w:rsidTr="007673F3">
              <w:tc>
                <w:tcPr>
                  <w:tcW w:w="2467" w:type="dxa"/>
                  <w:shd w:val="clear" w:color="auto" w:fill="auto"/>
                </w:tcPr>
                <w:p w14:paraId="4EADA542" w14:textId="774A6FC9" w:rsidR="000F4FD4" w:rsidRPr="00B0612A" w:rsidRDefault="000F4FD4" w:rsidP="007673F3">
                  <w:pPr>
                    <w:rPr>
                      <w:rFonts w:ascii="Calibri" w:hAnsi="Calibri"/>
                      <w:iCs/>
                      <w:sz w:val="22"/>
                      <w:szCs w:val="22"/>
                      <w:lang w:val="el-GR"/>
                    </w:rPr>
                  </w:pPr>
                </w:p>
              </w:tc>
              <w:tc>
                <w:tcPr>
                  <w:tcW w:w="2468" w:type="dxa"/>
                </w:tcPr>
                <w:p w14:paraId="76A9AB37" w14:textId="011CE233" w:rsidR="000F4FD4" w:rsidRPr="00B0612A" w:rsidRDefault="000F4FD4" w:rsidP="007673F3">
                  <w:pPr>
                    <w:jc w:val="center"/>
                    <w:rPr>
                      <w:rFonts w:ascii="Calibri" w:hAnsi="Calibri" w:cs="Arial"/>
                      <w:sz w:val="20"/>
                      <w:szCs w:val="20"/>
                      <w:lang w:val="el-GR"/>
                    </w:rPr>
                  </w:pPr>
                </w:p>
              </w:tc>
            </w:tr>
            <w:tr w:rsidR="00B0612A" w:rsidRPr="00B0612A" w14:paraId="3F369066" w14:textId="77777777" w:rsidTr="007673F3">
              <w:tc>
                <w:tcPr>
                  <w:tcW w:w="2467" w:type="dxa"/>
                  <w:shd w:val="clear" w:color="auto" w:fill="auto"/>
                </w:tcPr>
                <w:p w14:paraId="1CDA415F" w14:textId="06F8E11E" w:rsidR="000F4FD4" w:rsidRPr="00B0612A" w:rsidRDefault="00E15122" w:rsidP="007673F3">
                  <w:pPr>
                    <w:rPr>
                      <w:rFonts w:ascii="Calibri" w:hAnsi="Calibri"/>
                      <w:iCs/>
                      <w:sz w:val="22"/>
                      <w:szCs w:val="22"/>
                      <w:lang w:val="el-GR"/>
                    </w:rPr>
                  </w:pPr>
                  <w:r w:rsidRPr="00B0612A">
                    <w:rPr>
                      <w:rFonts w:ascii="Calibri" w:hAnsi="Calibri"/>
                      <w:iCs/>
                      <w:sz w:val="22"/>
                      <w:szCs w:val="22"/>
                      <w:lang w:val="el-GR"/>
                    </w:rPr>
                    <w:t>Σύνολο Μαθήματος</w:t>
                  </w:r>
                </w:p>
              </w:tc>
              <w:tc>
                <w:tcPr>
                  <w:tcW w:w="2468" w:type="dxa"/>
                </w:tcPr>
                <w:p w14:paraId="7C0AA3B0" w14:textId="2A51E88A" w:rsidR="000F4FD4" w:rsidRPr="00B0612A" w:rsidRDefault="000F4FD4" w:rsidP="007673F3">
                  <w:pPr>
                    <w:jc w:val="center"/>
                    <w:rPr>
                      <w:rFonts w:ascii="Calibri" w:hAnsi="Calibri" w:cs="Arial"/>
                      <w:sz w:val="20"/>
                      <w:szCs w:val="20"/>
                      <w:lang w:val="el-GR"/>
                    </w:rPr>
                  </w:pPr>
                </w:p>
              </w:tc>
            </w:tr>
            <w:tr w:rsidR="00B0612A" w:rsidRPr="00B0612A" w14:paraId="407086F2" w14:textId="77777777" w:rsidTr="007673F3">
              <w:tc>
                <w:tcPr>
                  <w:tcW w:w="2467" w:type="dxa"/>
                  <w:shd w:val="clear" w:color="auto" w:fill="auto"/>
                </w:tcPr>
                <w:p w14:paraId="2B4E5D77" w14:textId="77777777" w:rsidR="000F4FD4" w:rsidRPr="00B0612A" w:rsidRDefault="000F4FD4" w:rsidP="007673F3">
                  <w:pPr>
                    <w:rPr>
                      <w:rFonts w:ascii="Calibri" w:hAnsi="Calibri"/>
                      <w:iCs/>
                      <w:sz w:val="22"/>
                      <w:szCs w:val="22"/>
                      <w:lang w:val="el-GR"/>
                    </w:rPr>
                  </w:pPr>
                </w:p>
              </w:tc>
              <w:tc>
                <w:tcPr>
                  <w:tcW w:w="2468" w:type="dxa"/>
                </w:tcPr>
                <w:p w14:paraId="786471D9" w14:textId="77777777" w:rsidR="000F4FD4" w:rsidRPr="00B0612A" w:rsidRDefault="000F4FD4" w:rsidP="007673F3">
                  <w:pPr>
                    <w:rPr>
                      <w:rFonts w:ascii="Calibri" w:hAnsi="Calibri" w:cs="Arial"/>
                      <w:i/>
                      <w:sz w:val="16"/>
                      <w:szCs w:val="16"/>
                      <w:lang w:val="el-GR"/>
                    </w:rPr>
                  </w:pPr>
                </w:p>
              </w:tc>
            </w:tr>
            <w:tr w:rsidR="00B0612A" w:rsidRPr="00B0612A" w14:paraId="5A0A29A8" w14:textId="77777777" w:rsidTr="007673F3">
              <w:tc>
                <w:tcPr>
                  <w:tcW w:w="2467" w:type="dxa"/>
                  <w:shd w:val="clear" w:color="auto" w:fill="auto"/>
                </w:tcPr>
                <w:p w14:paraId="37F5C828" w14:textId="77777777" w:rsidR="000F4FD4" w:rsidRPr="00B0612A" w:rsidRDefault="000F4FD4" w:rsidP="007673F3">
                  <w:pPr>
                    <w:rPr>
                      <w:rFonts w:ascii="Calibri" w:hAnsi="Calibri"/>
                      <w:iCs/>
                      <w:sz w:val="22"/>
                      <w:szCs w:val="22"/>
                      <w:lang w:val="el-GR"/>
                    </w:rPr>
                  </w:pPr>
                </w:p>
              </w:tc>
              <w:tc>
                <w:tcPr>
                  <w:tcW w:w="2468" w:type="dxa"/>
                </w:tcPr>
                <w:p w14:paraId="6B0C82FE" w14:textId="77777777" w:rsidR="000F4FD4" w:rsidRPr="00B0612A" w:rsidRDefault="000F4FD4" w:rsidP="007673F3">
                  <w:pPr>
                    <w:rPr>
                      <w:rFonts w:ascii="Calibri" w:hAnsi="Calibri" w:cs="Arial"/>
                      <w:i/>
                      <w:sz w:val="16"/>
                      <w:szCs w:val="16"/>
                      <w:lang w:val="el-GR"/>
                    </w:rPr>
                  </w:pPr>
                </w:p>
              </w:tc>
            </w:tr>
            <w:tr w:rsidR="00B0612A" w:rsidRPr="00B0612A" w14:paraId="06D33111" w14:textId="77777777" w:rsidTr="007673F3">
              <w:tc>
                <w:tcPr>
                  <w:tcW w:w="2467" w:type="dxa"/>
                  <w:shd w:val="clear" w:color="auto" w:fill="auto"/>
                </w:tcPr>
                <w:p w14:paraId="52ECF4B6" w14:textId="77777777" w:rsidR="000F4FD4" w:rsidRPr="00B0612A" w:rsidRDefault="000F4FD4" w:rsidP="007673F3">
                  <w:pPr>
                    <w:rPr>
                      <w:rFonts w:ascii="Calibri" w:hAnsi="Calibri"/>
                      <w:iCs/>
                      <w:sz w:val="22"/>
                      <w:szCs w:val="22"/>
                      <w:lang w:val="el-GR"/>
                    </w:rPr>
                  </w:pPr>
                </w:p>
              </w:tc>
              <w:tc>
                <w:tcPr>
                  <w:tcW w:w="2468" w:type="dxa"/>
                </w:tcPr>
                <w:p w14:paraId="6774CC6C" w14:textId="77777777" w:rsidR="000F4FD4" w:rsidRPr="00B0612A" w:rsidRDefault="000F4FD4" w:rsidP="007673F3">
                  <w:pPr>
                    <w:rPr>
                      <w:rFonts w:ascii="Calibri" w:hAnsi="Calibri" w:cs="Arial"/>
                      <w:i/>
                      <w:sz w:val="16"/>
                      <w:szCs w:val="16"/>
                      <w:lang w:val="el-GR"/>
                    </w:rPr>
                  </w:pPr>
                </w:p>
              </w:tc>
            </w:tr>
            <w:tr w:rsidR="00B0612A" w:rsidRPr="00B0612A" w14:paraId="6F9EED7C" w14:textId="77777777" w:rsidTr="007673F3">
              <w:tc>
                <w:tcPr>
                  <w:tcW w:w="2467" w:type="dxa"/>
                  <w:shd w:val="clear" w:color="auto" w:fill="auto"/>
                </w:tcPr>
                <w:p w14:paraId="6F0E06E1" w14:textId="77777777" w:rsidR="000F4FD4" w:rsidRPr="00B0612A" w:rsidRDefault="000F4FD4" w:rsidP="007673F3">
                  <w:pPr>
                    <w:rPr>
                      <w:rFonts w:ascii="Calibri" w:hAnsi="Calibri"/>
                      <w:iCs/>
                      <w:sz w:val="22"/>
                      <w:szCs w:val="22"/>
                      <w:lang w:val="el-GR"/>
                    </w:rPr>
                  </w:pPr>
                </w:p>
              </w:tc>
              <w:tc>
                <w:tcPr>
                  <w:tcW w:w="2468" w:type="dxa"/>
                </w:tcPr>
                <w:p w14:paraId="082ADE4D" w14:textId="77777777" w:rsidR="000F4FD4" w:rsidRPr="00B0612A" w:rsidRDefault="000F4FD4" w:rsidP="007673F3">
                  <w:pPr>
                    <w:jc w:val="center"/>
                    <w:rPr>
                      <w:rFonts w:ascii="Calibri" w:hAnsi="Calibri" w:cs="Arial"/>
                      <w:sz w:val="20"/>
                      <w:szCs w:val="20"/>
                      <w:lang w:val="el-GR"/>
                    </w:rPr>
                  </w:pPr>
                </w:p>
              </w:tc>
            </w:tr>
            <w:tr w:rsidR="00B0612A" w:rsidRPr="00B0612A" w14:paraId="3BB48004" w14:textId="77777777" w:rsidTr="007673F3">
              <w:tc>
                <w:tcPr>
                  <w:tcW w:w="2467" w:type="dxa"/>
                </w:tcPr>
                <w:p w14:paraId="11C303FE" w14:textId="77777777" w:rsidR="000F4FD4" w:rsidRPr="00B0612A" w:rsidRDefault="000F4FD4" w:rsidP="007673F3">
                  <w:pPr>
                    <w:rPr>
                      <w:rFonts w:ascii="Calibri" w:hAnsi="Calibri"/>
                      <w:iCs/>
                      <w:sz w:val="22"/>
                      <w:szCs w:val="22"/>
                      <w:lang w:val="el-GR"/>
                    </w:rPr>
                  </w:pPr>
                  <w:r w:rsidRPr="00B0612A">
                    <w:rPr>
                      <w:rFonts w:ascii="Calibri" w:hAnsi="Calibri"/>
                      <w:iCs/>
                      <w:sz w:val="22"/>
                      <w:szCs w:val="22"/>
                      <w:lang w:val="el-GR"/>
                    </w:rPr>
                    <w:t xml:space="preserve">Σύνολο Μαθήματος </w:t>
                  </w:r>
                </w:p>
                <w:p w14:paraId="3F09B31F" w14:textId="27C382CE" w:rsidR="00E15122" w:rsidRPr="00B0612A" w:rsidRDefault="00E15122" w:rsidP="007673F3">
                  <w:pPr>
                    <w:rPr>
                      <w:rFonts w:ascii="Calibri" w:hAnsi="Calibri"/>
                      <w:iCs/>
                      <w:sz w:val="22"/>
                      <w:szCs w:val="22"/>
                      <w:lang w:val="el-GR"/>
                    </w:rPr>
                  </w:pPr>
                  <w:r w:rsidRPr="00B0612A">
                    <w:rPr>
                      <w:rFonts w:ascii="Calibri" w:hAnsi="Calibri"/>
                      <w:iCs/>
                      <w:sz w:val="22"/>
                      <w:szCs w:val="22"/>
                      <w:lang w:val="el-GR"/>
                    </w:rPr>
                    <w:t>(</w:t>
                  </w:r>
                  <w:r w:rsidR="004F507F" w:rsidRPr="00B0612A">
                    <w:rPr>
                      <w:rFonts w:ascii="Calibri" w:hAnsi="Calibri"/>
                      <w:iCs/>
                      <w:sz w:val="22"/>
                      <w:szCs w:val="22"/>
                      <w:lang w:val="el-GR"/>
                    </w:rPr>
                    <w:t>25</w:t>
                  </w:r>
                  <w:r w:rsidRPr="00B0612A">
                    <w:rPr>
                      <w:rFonts w:ascii="Calibri" w:hAnsi="Calibri"/>
                      <w:iCs/>
                      <w:sz w:val="22"/>
                      <w:szCs w:val="22"/>
                      <w:lang w:val="el-GR"/>
                    </w:rPr>
                    <w:t xml:space="preserve"> ώρες φόρτου εργασίας ανά πιστωτική μονάδα).</w:t>
                  </w:r>
                </w:p>
              </w:tc>
              <w:tc>
                <w:tcPr>
                  <w:tcW w:w="2468" w:type="dxa"/>
                  <w:vAlign w:val="center"/>
                </w:tcPr>
                <w:p w14:paraId="72297683" w14:textId="187BF739" w:rsidR="000F4FD4" w:rsidRPr="00B0612A" w:rsidRDefault="004F507F" w:rsidP="007673F3">
                  <w:pPr>
                    <w:jc w:val="center"/>
                    <w:rPr>
                      <w:rFonts w:ascii="Calibri" w:hAnsi="Calibri" w:cs="Arial"/>
                      <w:b/>
                      <w:i/>
                      <w:sz w:val="20"/>
                      <w:szCs w:val="20"/>
                      <w:lang w:val="el-GR"/>
                    </w:rPr>
                  </w:pPr>
                  <w:r w:rsidRPr="00B0612A">
                    <w:rPr>
                      <w:rFonts w:ascii="Calibri" w:hAnsi="Calibri" w:cs="Arial"/>
                      <w:b/>
                      <w:i/>
                      <w:sz w:val="20"/>
                      <w:szCs w:val="20"/>
                      <w:lang w:val="el-GR"/>
                    </w:rPr>
                    <w:t>150</w:t>
                  </w:r>
                </w:p>
              </w:tc>
            </w:tr>
          </w:tbl>
          <w:p w14:paraId="16A0002F" w14:textId="77777777" w:rsidR="000F4FD4" w:rsidRPr="00B0612A" w:rsidRDefault="000F4FD4" w:rsidP="007673F3">
            <w:pPr>
              <w:rPr>
                <w:rFonts w:ascii="Tahoma" w:hAnsi="Tahoma" w:cs="Tahoma"/>
              </w:rPr>
            </w:pPr>
          </w:p>
        </w:tc>
      </w:tr>
      <w:tr w:rsidR="000F4FD4" w:rsidRPr="009526A4" w14:paraId="7BF884B5" w14:textId="77777777" w:rsidTr="007673F3">
        <w:tc>
          <w:tcPr>
            <w:tcW w:w="3306" w:type="dxa"/>
          </w:tcPr>
          <w:p w14:paraId="434D16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F7676F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EBDCF64" w14:textId="77777777" w:rsidR="000F4FD4" w:rsidRPr="00705AAD" w:rsidRDefault="000F4FD4" w:rsidP="007673F3">
            <w:pPr>
              <w:jc w:val="both"/>
              <w:rPr>
                <w:rFonts w:ascii="Calibri" w:hAnsi="Calibri" w:cs="Arial"/>
                <w:i/>
                <w:sz w:val="16"/>
                <w:szCs w:val="16"/>
                <w:lang w:val="el-GR"/>
              </w:rPr>
            </w:pPr>
          </w:p>
          <w:p w14:paraId="52CA396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309B515" w14:textId="77777777" w:rsidR="000F4FD4" w:rsidRPr="00705AAD" w:rsidRDefault="000F4FD4" w:rsidP="007673F3">
            <w:pPr>
              <w:jc w:val="both"/>
              <w:rPr>
                <w:rFonts w:ascii="Calibri" w:hAnsi="Calibri" w:cs="Arial"/>
                <w:i/>
                <w:sz w:val="16"/>
                <w:szCs w:val="16"/>
                <w:lang w:val="el-GR"/>
              </w:rPr>
            </w:pPr>
          </w:p>
          <w:p w14:paraId="1674C01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7FA2DEA" w14:textId="77777777" w:rsidR="000F4FD4" w:rsidRDefault="000F4FD4" w:rsidP="007673F3">
            <w:pPr>
              <w:rPr>
                <w:rFonts w:ascii="Calibri" w:hAnsi="Calibri" w:cs="Arial"/>
                <w:color w:val="002060"/>
                <w:lang w:val="el-GR"/>
              </w:rPr>
            </w:pPr>
          </w:p>
          <w:p w14:paraId="36070DAE" w14:textId="792A59AD" w:rsidR="002B4AF8" w:rsidRPr="002B4AF8" w:rsidRDefault="002B4AF8" w:rsidP="00B0612A">
            <w:pPr>
              <w:spacing w:line="360" w:lineRule="auto"/>
              <w:jc w:val="both"/>
              <w:rPr>
                <w:rFonts w:ascii="Calibri" w:hAnsi="Calibri" w:cs="Arial"/>
                <w:color w:val="002060"/>
                <w:sz w:val="20"/>
                <w:szCs w:val="20"/>
                <w:lang w:val="el-GR"/>
              </w:rPr>
            </w:pPr>
            <w:r w:rsidRPr="002B4AF8">
              <w:rPr>
                <w:rFonts w:asciiTheme="minorHAnsi" w:hAnsiTheme="minorHAnsi" w:cstheme="minorHAnsi"/>
                <w:sz w:val="20"/>
                <w:szCs w:val="20"/>
                <w:lang w:val="el-GR"/>
              </w:rPr>
              <w:t>Η αξιολόγηση πραγματοποιείται στην ελληνική γλώσσα και αποτελείται από γραπτές εξετάσεις στο τέλος του εξαμήνου.</w:t>
            </w:r>
            <w:r w:rsidR="006A15B9">
              <w:rPr>
                <w:rFonts w:asciiTheme="minorHAnsi" w:hAnsiTheme="minorHAnsi" w:cstheme="minorHAnsi"/>
                <w:sz w:val="20"/>
                <w:szCs w:val="20"/>
                <w:lang w:val="el-GR"/>
              </w:rPr>
              <w:t xml:space="preserve"> Προαιρετικά θα υπάρχει η δυνατότητα πραγματοποίησης προόδου (40%).</w:t>
            </w:r>
            <w:r w:rsidRPr="002B4AF8">
              <w:rPr>
                <w:rFonts w:asciiTheme="minorHAnsi" w:hAnsiTheme="minorHAnsi" w:cstheme="minorHAnsi"/>
                <w:sz w:val="20"/>
                <w:szCs w:val="20"/>
                <w:lang w:val="el-GR"/>
              </w:rPr>
              <w:t xml:space="preserve"> Οι εξετάσεις περιλαμβάνουν ερωτήσεις </w:t>
            </w:r>
            <w:r w:rsidR="006A15B9">
              <w:rPr>
                <w:rFonts w:asciiTheme="minorHAnsi" w:hAnsiTheme="minorHAnsi" w:cstheme="minorHAnsi"/>
                <w:sz w:val="20"/>
                <w:szCs w:val="20"/>
                <w:lang w:val="el-GR"/>
              </w:rPr>
              <w:t>πολλαπλών επιλογών</w:t>
            </w:r>
            <w:r w:rsidRPr="002B4AF8">
              <w:rPr>
                <w:rFonts w:asciiTheme="minorHAnsi" w:hAnsiTheme="minorHAnsi" w:cstheme="minorHAnsi"/>
                <w:sz w:val="20"/>
                <w:szCs w:val="20"/>
                <w:lang w:val="el-GR"/>
              </w:rPr>
              <w:t xml:space="preserve">. Προφορική εξέταση προβλέπεται σε ειδικές περιπτώσεις (π.χ. ορισμένες περιπτώσεις φοιτητών με μαθησιακές δυσκολίες </w:t>
            </w:r>
            <w:proofErr w:type="spellStart"/>
            <w:r w:rsidRPr="002B4AF8">
              <w:rPr>
                <w:rFonts w:asciiTheme="minorHAnsi" w:hAnsiTheme="minorHAnsi" w:cstheme="minorHAnsi"/>
                <w:sz w:val="20"/>
                <w:szCs w:val="20"/>
                <w:lang w:val="el-GR"/>
              </w:rPr>
              <w:t>κτλ</w:t>
            </w:r>
            <w:proofErr w:type="spellEnd"/>
            <w:r w:rsidRPr="002B4AF8">
              <w:rPr>
                <w:rFonts w:asciiTheme="minorHAnsi" w:hAnsiTheme="minorHAnsi" w:cstheme="minorHAnsi"/>
                <w:sz w:val="20"/>
                <w:szCs w:val="20"/>
                <w:lang w:val="el-GR"/>
              </w:rPr>
              <w:t>).</w:t>
            </w:r>
          </w:p>
          <w:p w14:paraId="73C031A3" w14:textId="77777777" w:rsidR="000F4FD4" w:rsidRDefault="000F4FD4" w:rsidP="00B0612A">
            <w:pPr>
              <w:spacing w:line="360" w:lineRule="auto"/>
              <w:rPr>
                <w:rFonts w:ascii="Calibri" w:hAnsi="Calibri" w:cs="Arial"/>
                <w:color w:val="002060"/>
                <w:lang w:val="el-GR"/>
              </w:rPr>
            </w:pPr>
          </w:p>
          <w:p w14:paraId="5ED1FD15" w14:textId="77777777" w:rsidR="000F4FD4" w:rsidRDefault="000F4FD4" w:rsidP="007673F3">
            <w:pPr>
              <w:rPr>
                <w:rFonts w:ascii="Calibri" w:hAnsi="Calibri" w:cs="Arial"/>
                <w:color w:val="002060"/>
                <w:lang w:val="el-GR"/>
              </w:rPr>
            </w:pPr>
          </w:p>
          <w:p w14:paraId="38E6EED6" w14:textId="77777777" w:rsidR="000F4FD4" w:rsidRDefault="000F4FD4" w:rsidP="007673F3">
            <w:pPr>
              <w:rPr>
                <w:rFonts w:ascii="Calibri" w:hAnsi="Calibri" w:cs="Arial"/>
                <w:color w:val="002060"/>
                <w:lang w:val="el-GR"/>
              </w:rPr>
            </w:pPr>
          </w:p>
          <w:p w14:paraId="0E656A47" w14:textId="77777777" w:rsidR="000F4FD4" w:rsidRDefault="000F4FD4" w:rsidP="007673F3">
            <w:pPr>
              <w:rPr>
                <w:rFonts w:ascii="Calibri" w:hAnsi="Calibri" w:cs="Arial"/>
                <w:color w:val="002060"/>
                <w:lang w:val="el-GR"/>
              </w:rPr>
            </w:pPr>
          </w:p>
          <w:p w14:paraId="63AAD3CC" w14:textId="77777777" w:rsidR="000F4FD4" w:rsidRDefault="000F4FD4" w:rsidP="007673F3">
            <w:pPr>
              <w:rPr>
                <w:rFonts w:ascii="Calibri" w:hAnsi="Calibri" w:cs="Arial"/>
                <w:color w:val="002060"/>
                <w:lang w:val="el-GR"/>
              </w:rPr>
            </w:pPr>
          </w:p>
          <w:p w14:paraId="2B8C272E" w14:textId="77777777" w:rsidR="000F4FD4" w:rsidRDefault="000F4FD4" w:rsidP="007673F3">
            <w:pPr>
              <w:rPr>
                <w:rFonts w:ascii="Calibri" w:hAnsi="Calibri" w:cs="Arial"/>
                <w:color w:val="002060"/>
                <w:lang w:val="el-GR"/>
              </w:rPr>
            </w:pPr>
          </w:p>
          <w:p w14:paraId="3AC7E308" w14:textId="77777777" w:rsidR="000F4FD4" w:rsidRDefault="000F4FD4" w:rsidP="007673F3">
            <w:pPr>
              <w:rPr>
                <w:rFonts w:ascii="Calibri" w:hAnsi="Calibri" w:cs="Arial"/>
                <w:color w:val="002060"/>
                <w:lang w:val="el-GR"/>
              </w:rPr>
            </w:pPr>
          </w:p>
          <w:p w14:paraId="215D8326" w14:textId="77777777" w:rsidR="000F4FD4" w:rsidRDefault="000F4FD4" w:rsidP="007673F3">
            <w:pPr>
              <w:rPr>
                <w:rFonts w:ascii="Calibri" w:hAnsi="Calibri" w:cs="Arial"/>
                <w:color w:val="002060"/>
                <w:lang w:val="el-GR"/>
              </w:rPr>
            </w:pPr>
          </w:p>
          <w:p w14:paraId="1B7D0919" w14:textId="77777777" w:rsidR="000F4FD4" w:rsidRDefault="000F4FD4" w:rsidP="007673F3">
            <w:pPr>
              <w:rPr>
                <w:rFonts w:ascii="Calibri" w:hAnsi="Calibri" w:cs="Arial"/>
                <w:color w:val="002060"/>
                <w:lang w:val="el-GR"/>
              </w:rPr>
            </w:pPr>
          </w:p>
          <w:p w14:paraId="26D2B1B7" w14:textId="77777777" w:rsidR="000F4FD4" w:rsidRPr="00705AAD" w:rsidRDefault="000F4FD4" w:rsidP="007673F3">
            <w:pPr>
              <w:rPr>
                <w:rFonts w:ascii="Calibri" w:hAnsi="Calibri" w:cs="Arial"/>
                <w:color w:val="002060"/>
                <w:lang w:val="el-GR"/>
              </w:rPr>
            </w:pPr>
          </w:p>
        </w:tc>
      </w:tr>
    </w:tbl>
    <w:p w14:paraId="0807FBAF"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54104" w14:paraId="21401C1C" w14:textId="77777777" w:rsidTr="007673F3">
        <w:tc>
          <w:tcPr>
            <w:tcW w:w="8472" w:type="dxa"/>
          </w:tcPr>
          <w:p w14:paraId="354F19A7" w14:textId="14A8A305" w:rsidR="001A1C52" w:rsidRPr="00B0612A" w:rsidRDefault="00A8723B" w:rsidP="00B0612A">
            <w:pPr>
              <w:pStyle w:val="ab"/>
              <w:spacing w:line="360" w:lineRule="auto"/>
              <w:ind w:left="0"/>
              <w:jc w:val="both"/>
              <w:rPr>
                <w:rFonts w:asciiTheme="minorHAnsi" w:hAnsiTheme="minorHAnsi" w:cstheme="minorHAnsi"/>
                <w:b/>
                <w:bCs/>
                <w:i/>
                <w:sz w:val="20"/>
                <w:szCs w:val="20"/>
              </w:rPr>
            </w:pPr>
            <w:r w:rsidRPr="00B0612A">
              <w:rPr>
                <w:rFonts w:asciiTheme="minorHAnsi" w:hAnsiTheme="minorHAnsi" w:cstheme="minorHAnsi"/>
                <w:b/>
                <w:bCs/>
                <w:i/>
                <w:sz w:val="20"/>
                <w:szCs w:val="20"/>
              </w:rPr>
              <w:t xml:space="preserve">- </w:t>
            </w:r>
            <w:r w:rsidR="000F4FD4" w:rsidRPr="00B0612A">
              <w:rPr>
                <w:rFonts w:asciiTheme="minorHAnsi" w:hAnsiTheme="minorHAnsi" w:cstheme="minorHAnsi"/>
                <w:b/>
                <w:bCs/>
                <w:i/>
                <w:sz w:val="20"/>
                <w:szCs w:val="20"/>
              </w:rPr>
              <w:t xml:space="preserve">Προτεινόμενη </w:t>
            </w:r>
            <w:r w:rsidR="006A15B9" w:rsidRPr="00B0612A">
              <w:rPr>
                <w:rFonts w:asciiTheme="minorHAnsi" w:hAnsiTheme="minorHAnsi" w:cstheme="minorHAnsi"/>
                <w:b/>
                <w:bCs/>
                <w:i/>
                <w:sz w:val="20"/>
                <w:szCs w:val="20"/>
              </w:rPr>
              <w:t xml:space="preserve">Ενδεικτική </w:t>
            </w:r>
            <w:r w:rsidR="000F4FD4" w:rsidRPr="00B0612A">
              <w:rPr>
                <w:rFonts w:asciiTheme="minorHAnsi" w:hAnsiTheme="minorHAnsi" w:cstheme="minorHAnsi"/>
                <w:b/>
                <w:bCs/>
                <w:i/>
                <w:sz w:val="20"/>
                <w:szCs w:val="20"/>
              </w:rPr>
              <w:t>Βιβλι</w:t>
            </w:r>
            <w:r w:rsidR="001A1C52" w:rsidRPr="00B0612A">
              <w:rPr>
                <w:rFonts w:asciiTheme="minorHAnsi" w:hAnsiTheme="minorHAnsi" w:cstheme="minorHAnsi"/>
                <w:b/>
                <w:bCs/>
                <w:i/>
                <w:sz w:val="20"/>
                <w:szCs w:val="20"/>
              </w:rPr>
              <w:t>ογραφία</w:t>
            </w:r>
            <w:r w:rsidR="000F4FD4" w:rsidRPr="00B0612A">
              <w:rPr>
                <w:rFonts w:asciiTheme="minorHAnsi" w:hAnsiTheme="minorHAnsi" w:cstheme="minorHAnsi"/>
                <w:b/>
                <w:bCs/>
                <w:i/>
                <w:sz w:val="20"/>
                <w:szCs w:val="20"/>
              </w:rPr>
              <w:t>:</w:t>
            </w:r>
          </w:p>
          <w:p w14:paraId="71C0C10D" w14:textId="77777777" w:rsidR="009526A4" w:rsidRPr="009526A4" w:rsidRDefault="009526A4" w:rsidP="009526A4">
            <w:pPr>
              <w:spacing w:after="160" w:line="360" w:lineRule="auto"/>
              <w:contextualSpacing/>
              <w:rPr>
                <w:rFonts w:asciiTheme="minorHAnsi" w:hAnsiTheme="minorHAnsi" w:cstheme="minorHAnsi"/>
                <w:i/>
                <w:color w:val="000000"/>
                <w:sz w:val="20"/>
                <w:szCs w:val="20"/>
                <w:shd w:val="clear" w:color="auto" w:fill="FFFFFF"/>
                <w:lang w:val="el-GR"/>
              </w:rPr>
            </w:pPr>
            <w:r w:rsidRPr="009526A4">
              <w:rPr>
                <w:rFonts w:asciiTheme="minorHAnsi" w:hAnsiTheme="minorHAnsi" w:cstheme="minorHAnsi"/>
                <w:color w:val="000000"/>
                <w:sz w:val="20"/>
                <w:szCs w:val="20"/>
                <w:shd w:val="clear" w:color="auto" w:fill="FFFFFF"/>
                <w:lang w:val="el-GR"/>
              </w:rPr>
              <w:t xml:space="preserve">Επιστημονική Ομάδα </w:t>
            </w:r>
            <w:proofErr w:type="spellStart"/>
            <w:r w:rsidRPr="009526A4">
              <w:rPr>
                <w:rFonts w:asciiTheme="minorHAnsi" w:hAnsiTheme="minorHAnsi" w:cstheme="minorHAnsi"/>
                <w:color w:val="000000"/>
                <w:sz w:val="20"/>
                <w:szCs w:val="20"/>
                <w:shd w:val="clear" w:color="auto" w:fill="FFFFFF"/>
              </w:rPr>
              <w:t>ASTbooks</w:t>
            </w:r>
            <w:proofErr w:type="spellEnd"/>
            <w:r w:rsidRPr="009526A4">
              <w:rPr>
                <w:rFonts w:asciiTheme="minorHAnsi" w:hAnsiTheme="minorHAnsi" w:cstheme="minorHAnsi"/>
                <w:color w:val="000000"/>
                <w:sz w:val="20"/>
                <w:szCs w:val="20"/>
                <w:shd w:val="clear" w:color="auto" w:fill="FFFFFF"/>
                <w:lang w:val="el-GR"/>
              </w:rPr>
              <w:t xml:space="preserve"> (2021). </w:t>
            </w:r>
            <w:r w:rsidRPr="009526A4">
              <w:rPr>
                <w:rFonts w:asciiTheme="minorHAnsi" w:hAnsiTheme="minorHAnsi" w:cstheme="minorHAnsi"/>
                <w:i/>
                <w:iCs/>
                <w:color w:val="000000"/>
                <w:sz w:val="20"/>
                <w:szCs w:val="20"/>
                <w:shd w:val="clear" w:color="auto" w:fill="FFFFFF"/>
                <w:lang w:val="el-GR"/>
              </w:rPr>
              <w:t>Κώδικας Φορολογίας Εισοδήματος Ν.4172/2013</w:t>
            </w:r>
            <w:r w:rsidRPr="009526A4">
              <w:rPr>
                <w:rFonts w:asciiTheme="minorHAnsi" w:hAnsiTheme="minorHAnsi" w:cstheme="minorHAnsi"/>
                <w:color w:val="000000"/>
                <w:sz w:val="20"/>
                <w:szCs w:val="20"/>
                <w:shd w:val="clear" w:color="auto" w:fill="FFFFFF"/>
                <w:lang w:val="el-GR"/>
              </w:rPr>
              <w:t xml:space="preserve">. Αθήνα: </w:t>
            </w:r>
            <w:proofErr w:type="spellStart"/>
            <w:r w:rsidRPr="009526A4">
              <w:rPr>
                <w:rFonts w:asciiTheme="minorHAnsi" w:hAnsiTheme="minorHAnsi" w:cstheme="minorHAnsi"/>
                <w:color w:val="000000"/>
                <w:sz w:val="20"/>
                <w:szCs w:val="20"/>
                <w:shd w:val="clear" w:color="auto" w:fill="FFFFFF"/>
              </w:rPr>
              <w:t>ASTbooks</w:t>
            </w:r>
            <w:proofErr w:type="spellEnd"/>
            <w:r w:rsidRPr="009526A4">
              <w:rPr>
                <w:rFonts w:asciiTheme="minorHAnsi" w:hAnsiTheme="minorHAnsi" w:cstheme="minorHAnsi"/>
                <w:color w:val="000000"/>
                <w:sz w:val="20"/>
                <w:szCs w:val="20"/>
                <w:shd w:val="clear" w:color="auto" w:fill="FFFFFF"/>
                <w:lang w:val="el-GR"/>
              </w:rPr>
              <w:t>. [</w:t>
            </w:r>
            <w:proofErr w:type="spellStart"/>
            <w:r w:rsidRPr="009526A4">
              <w:rPr>
                <w:rFonts w:asciiTheme="minorHAnsi" w:hAnsiTheme="minorHAnsi" w:cstheme="minorHAnsi"/>
                <w:color w:val="000000"/>
                <w:sz w:val="20"/>
                <w:szCs w:val="20"/>
                <w:shd w:val="clear" w:color="auto" w:fill="FFFFFF"/>
                <w:lang w:val="el-GR"/>
              </w:rPr>
              <w:t>κωδ</w:t>
            </w:r>
            <w:proofErr w:type="spellEnd"/>
            <w:r w:rsidRPr="009526A4">
              <w:rPr>
                <w:rFonts w:asciiTheme="minorHAnsi" w:hAnsiTheme="minorHAnsi" w:cstheme="minorHAnsi"/>
                <w:color w:val="000000"/>
                <w:sz w:val="20"/>
                <w:szCs w:val="20"/>
                <w:shd w:val="clear" w:color="auto" w:fill="FFFFFF"/>
                <w:lang w:val="el-GR"/>
              </w:rPr>
              <w:t xml:space="preserve">. στον </w:t>
            </w:r>
            <w:proofErr w:type="spellStart"/>
            <w:r w:rsidRPr="009526A4">
              <w:rPr>
                <w:rFonts w:asciiTheme="minorHAnsi" w:hAnsiTheme="minorHAnsi" w:cstheme="minorHAnsi"/>
                <w:color w:val="000000"/>
                <w:sz w:val="20"/>
                <w:szCs w:val="20"/>
                <w:shd w:val="clear" w:color="auto" w:fill="FFFFFF"/>
                <w:lang w:val="el-GR"/>
              </w:rPr>
              <w:t>Εύδοξο</w:t>
            </w:r>
            <w:proofErr w:type="spellEnd"/>
            <w:r w:rsidRPr="009526A4">
              <w:rPr>
                <w:rFonts w:asciiTheme="minorHAnsi" w:hAnsiTheme="minorHAnsi" w:cstheme="minorHAnsi"/>
                <w:color w:val="000000"/>
                <w:sz w:val="20"/>
                <w:szCs w:val="20"/>
                <w:shd w:val="clear" w:color="auto" w:fill="FFFFFF"/>
                <w:lang w:val="el-GR"/>
              </w:rPr>
              <w:t xml:space="preserve">: 102076648].  </w:t>
            </w:r>
            <w:hyperlink r:id="rId8" w:anchor="a/id:102076648/0" w:history="1">
              <w:r w:rsidRPr="009526A4">
                <w:rPr>
                  <w:rStyle w:val="-"/>
                  <w:rFonts w:asciiTheme="minorHAnsi" w:hAnsiTheme="minorHAnsi" w:cstheme="minorHAnsi"/>
                  <w:sz w:val="20"/>
                  <w:szCs w:val="20"/>
                  <w:shd w:val="clear" w:color="auto" w:fill="FFFFFF"/>
                </w:rPr>
                <w:t>https</w:t>
              </w:r>
              <w:r w:rsidRPr="009526A4">
                <w:rPr>
                  <w:rStyle w:val="-"/>
                  <w:rFonts w:asciiTheme="minorHAnsi" w:hAnsiTheme="minorHAnsi" w:cstheme="minorHAnsi"/>
                  <w:sz w:val="20"/>
                  <w:szCs w:val="20"/>
                  <w:shd w:val="clear" w:color="auto" w:fill="FFFFFF"/>
                  <w:lang w:val="el-GR"/>
                </w:rPr>
                <w:t>://</w:t>
              </w:r>
              <w:r w:rsidRPr="009526A4">
                <w:rPr>
                  <w:rStyle w:val="-"/>
                  <w:rFonts w:asciiTheme="minorHAnsi" w:hAnsiTheme="minorHAnsi" w:cstheme="minorHAnsi"/>
                  <w:sz w:val="20"/>
                  <w:szCs w:val="20"/>
                  <w:shd w:val="clear" w:color="auto" w:fill="FFFFFF"/>
                </w:rPr>
                <w:t>service</w:t>
              </w:r>
              <w:r w:rsidRPr="009526A4">
                <w:rPr>
                  <w:rStyle w:val="-"/>
                  <w:rFonts w:asciiTheme="minorHAnsi" w:hAnsiTheme="minorHAnsi" w:cstheme="minorHAnsi"/>
                  <w:sz w:val="20"/>
                  <w:szCs w:val="20"/>
                  <w:shd w:val="clear" w:color="auto" w:fill="FFFFFF"/>
                  <w:lang w:val="el-GR"/>
                </w:rPr>
                <w:t>.</w:t>
              </w:r>
              <w:proofErr w:type="spellStart"/>
              <w:r w:rsidRPr="009526A4">
                <w:rPr>
                  <w:rStyle w:val="-"/>
                  <w:rFonts w:asciiTheme="minorHAnsi" w:hAnsiTheme="minorHAnsi" w:cstheme="minorHAnsi"/>
                  <w:sz w:val="20"/>
                  <w:szCs w:val="20"/>
                  <w:shd w:val="clear" w:color="auto" w:fill="FFFFFF"/>
                </w:rPr>
                <w:t>eudoxus</w:t>
              </w:r>
              <w:proofErr w:type="spellEnd"/>
              <w:r w:rsidRPr="009526A4">
                <w:rPr>
                  <w:rStyle w:val="-"/>
                  <w:rFonts w:asciiTheme="minorHAnsi" w:hAnsiTheme="minorHAnsi" w:cstheme="minorHAnsi"/>
                  <w:sz w:val="20"/>
                  <w:szCs w:val="20"/>
                  <w:shd w:val="clear" w:color="auto" w:fill="FFFFFF"/>
                  <w:lang w:val="el-GR"/>
                </w:rPr>
                <w:t>.</w:t>
              </w:r>
              <w:r w:rsidRPr="009526A4">
                <w:rPr>
                  <w:rStyle w:val="-"/>
                  <w:rFonts w:asciiTheme="minorHAnsi" w:hAnsiTheme="minorHAnsi" w:cstheme="minorHAnsi"/>
                  <w:sz w:val="20"/>
                  <w:szCs w:val="20"/>
                  <w:shd w:val="clear" w:color="auto" w:fill="FFFFFF"/>
                </w:rPr>
                <w:t>gr</w:t>
              </w:r>
              <w:r w:rsidRPr="009526A4">
                <w:rPr>
                  <w:rStyle w:val="-"/>
                  <w:rFonts w:asciiTheme="minorHAnsi" w:hAnsiTheme="minorHAnsi" w:cstheme="minorHAnsi"/>
                  <w:sz w:val="20"/>
                  <w:szCs w:val="20"/>
                  <w:shd w:val="clear" w:color="auto" w:fill="FFFFFF"/>
                  <w:lang w:val="el-GR"/>
                </w:rPr>
                <w:t>/</w:t>
              </w:r>
              <w:r w:rsidRPr="009526A4">
                <w:rPr>
                  <w:rStyle w:val="-"/>
                  <w:rFonts w:asciiTheme="minorHAnsi" w:hAnsiTheme="minorHAnsi" w:cstheme="minorHAnsi"/>
                  <w:sz w:val="20"/>
                  <w:szCs w:val="20"/>
                  <w:shd w:val="clear" w:color="auto" w:fill="FFFFFF"/>
                </w:rPr>
                <w:t>search</w:t>
              </w:r>
              <w:r w:rsidRPr="009526A4">
                <w:rPr>
                  <w:rStyle w:val="-"/>
                  <w:rFonts w:asciiTheme="minorHAnsi" w:hAnsiTheme="minorHAnsi" w:cstheme="minorHAnsi"/>
                  <w:sz w:val="20"/>
                  <w:szCs w:val="20"/>
                  <w:shd w:val="clear" w:color="auto" w:fill="FFFFFF"/>
                  <w:lang w:val="el-GR"/>
                </w:rPr>
                <w:t>/#</w:t>
              </w:r>
              <w:r w:rsidRPr="009526A4">
                <w:rPr>
                  <w:rStyle w:val="-"/>
                  <w:rFonts w:asciiTheme="minorHAnsi" w:hAnsiTheme="minorHAnsi" w:cstheme="minorHAnsi"/>
                  <w:sz w:val="20"/>
                  <w:szCs w:val="20"/>
                  <w:shd w:val="clear" w:color="auto" w:fill="FFFFFF"/>
                </w:rPr>
                <w:t>a</w:t>
              </w:r>
              <w:r w:rsidRPr="009526A4">
                <w:rPr>
                  <w:rStyle w:val="-"/>
                  <w:rFonts w:asciiTheme="minorHAnsi" w:hAnsiTheme="minorHAnsi" w:cstheme="minorHAnsi"/>
                  <w:sz w:val="20"/>
                  <w:szCs w:val="20"/>
                  <w:shd w:val="clear" w:color="auto" w:fill="FFFFFF"/>
                  <w:lang w:val="el-GR"/>
                </w:rPr>
                <w:t>/</w:t>
              </w:r>
              <w:r w:rsidRPr="009526A4">
                <w:rPr>
                  <w:rStyle w:val="-"/>
                  <w:rFonts w:asciiTheme="minorHAnsi" w:hAnsiTheme="minorHAnsi" w:cstheme="minorHAnsi"/>
                  <w:sz w:val="20"/>
                  <w:szCs w:val="20"/>
                  <w:shd w:val="clear" w:color="auto" w:fill="FFFFFF"/>
                </w:rPr>
                <w:t>id</w:t>
              </w:r>
              <w:r w:rsidRPr="009526A4">
                <w:rPr>
                  <w:rStyle w:val="-"/>
                  <w:rFonts w:asciiTheme="minorHAnsi" w:hAnsiTheme="minorHAnsi" w:cstheme="minorHAnsi"/>
                  <w:sz w:val="20"/>
                  <w:szCs w:val="20"/>
                  <w:shd w:val="clear" w:color="auto" w:fill="FFFFFF"/>
                  <w:lang w:val="el-GR"/>
                </w:rPr>
                <w:t>:102076648/0</w:t>
              </w:r>
            </w:hyperlink>
            <w:r w:rsidRPr="009526A4">
              <w:rPr>
                <w:rFonts w:asciiTheme="minorHAnsi" w:hAnsiTheme="minorHAnsi" w:cstheme="minorHAnsi"/>
                <w:color w:val="000000"/>
                <w:sz w:val="20"/>
                <w:szCs w:val="20"/>
                <w:shd w:val="clear" w:color="auto" w:fill="FFFFFF"/>
                <w:lang w:val="el-GR"/>
              </w:rPr>
              <w:t xml:space="preserve"> </w:t>
            </w:r>
          </w:p>
          <w:p w14:paraId="30E62BA4" w14:textId="20DC7C17" w:rsidR="00C8505E" w:rsidRPr="00B0612A" w:rsidRDefault="009526A4" w:rsidP="00B0612A">
            <w:pPr>
              <w:spacing w:after="160" w:line="360" w:lineRule="auto"/>
              <w:contextualSpacing/>
              <w:rPr>
                <w:rFonts w:asciiTheme="minorHAnsi" w:hAnsiTheme="minorHAnsi" w:cstheme="minorHAnsi"/>
                <w:color w:val="000000"/>
                <w:sz w:val="20"/>
                <w:szCs w:val="20"/>
                <w:shd w:val="clear" w:color="auto" w:fill="FFFFFF"/>
                <w:lang w:val="el-GR"/>
              </w:rPr>
            </w:pPr>
            <w:r>
              <w:rPr>
                <w:rFonts w:asciiTheme="minorHAnsi" w:hAnsiTheme="minorHAnsi" w:cstheme="minorHAnsi"/>
                <w:color w:val="000000"/>
                <w:sz w:val="20"/>
                <w:szCs w:val="20"/>
                <w:shd w:val="clear" w:color="auto" w:fill="FFFFFF"/>
                <w:lang w:val="el-GR"/>
              </w:rPr>
              <w:t xml:space="preserve">Λιάπης, Κ., Χύτης, Ε. και Γαλανός, Χ. (2021). </w:t>
            </w:r>
            <w:r w:rsidRPr="009526A4">
              <w:rPr>
                <w:rFonts w:asciiTheme="minorHAnsi" w:hAnsiTheme="minorHAnsi" w:cstheme="minorHAnsi"/>
                <w:i/>
                <w:iCs/>
                <w:color w:val="000000"/>
                <w:sz w:val="20"/>
                <w:szCs w:val="20"/>
                <w:shd w:val="clear" w:color="auto" w:fill="FFFFFF"/>
                <w:lang w:val="el-GR"/>
              </w:rPr>
              <w:t>Λογιστική εταιρειών, φορολογία και εταιρικοί μετασχηματισμοί</w:t>
            </w:r>
            <w:r>
              <w:rPr>
                <w:rFonts w:asciiTheme="minorHAnsi" w:hAnsiTheme="minorHAnsi" w:cstheme="minorHAnsi"/>
                <w:color w:val="000000"/>
                <w:sz w:val="20"/>
                <w:szCs w:val="20"/>
                <w:shd w:val="clear" w:color="auto" w:fill="FFFFFF"/>
                <w:lang w:val="el-GR"/>
              </w:rPr>
              <w:t>. 1</w:t>
            </w:r>
            <w:r w:rsidRPr="009526A4">
              <w:rPr>
                <w:rFonts w:asciiTheme="minorHAnsi" w:hAnsiTheme="minorHAnsi" w:cstheme="minorHAnsi"/>
                <w:color w:val="000000"/>
                <w:sz w:val="20"/>
                <w:szCs w:val="20"/>
                <w:shd w:val="clear" w:color="auto" w:fill="FFFFFF"/>
                <w:vertAlign w:val="superscript"/>
                <w:lang w:val="el-GR"/>
              </w:rPr>
              <w:t>η</w:t>
            </w:r>
            <w:r>
              <w:rPr>
                <w:rFonts w:asciiTheme="minorHAnsi" w:hAnsiTheme="minorHAnsi" w:cstheme="minorHAnsi"/>
                <w:color w:val="000000"/>
                <w:sz w:val="20"/>
                <w:szCs w:val="20"/>
                <w:shd w:val="clear" w:color="auto" w:fill="FFFFFF"/>
                <w:lang w:val="el-GR"/>
              </w:rPr>
              <w:t xml:space="preserve"> </w:t>
            </w:r>
            <w:proofErr w:type="spellStart"/>
            <w:r>
              <w:rPr>
                <w:rFonts w:asciiTheme="minorHAnsi" w:hAnsiTheme="minorHAnsi" w:cstheme="minorHAnsi"/>
                <w:color w:val="000000"/>
                <w:sz w:val="20"/>
                <w:szCs w:val="20"/>
                <w:shd w:val="clear" w:color="auto" w:fill="FFFFFF"/>
                <w:lang w:val="el-GR"/>
              </w:rPr>
              <w:t>εκδ</w:t>
            </w:r>
            <w:proofErr w:type="spellEnd"/>
            <w:r>
              <w:rPr>
                <w:rFonts w:asciiTheme="minorHAnsi" w:hAnsiTheme="minorHAnsi" w:cstheme="minorHAnsi"/>
                <w:color w:val="000000"/>
                <w:sz w:val="20"/>
                <w:szCs w:val="20"/>
                <w:shd w:val="clear" w:color="auto" w:fill="FFFFFF"/>
                <w:lang w:val="el-GR"/>
              </w:rPr>
              <w:t>. Αθήνα: Εκδόσεις Μπένου. [</w:t>
            </w:r>
            <w:proofErr w:type="spellStart"/>
            <w:r>
              <w:rPr>
                <w:rFonts w:asciiTheme="minorHAnsi" w:hAnsiTheme="minorHAnsi" w:cstheme="minorHAnsi"/>
                <w:color w:val="000000"/>
                <w:sz w:val="20"/>
                <w:szCs w:val="20"/>
                <w:shd w:val="clear" w:color="auto" w:fill="FFFFFF"/>
                <w:lang w:val="el-GR"/>
              </w:rPr>
              <w:t>κωδ</w:t>
            </w:r>
            <w:proofErr w:type="spellEnd"/>
            <w:r>
              <w:rPr>
                <w:rFonts w:asciiTheme="minorHAnsi" w:hAnsiTheme="minorHAnsi" w:cstheme="minorHAnsi"/>
                <w:color w:val="000000"/>
                <w:sz w:val="20"/>
                <w:szCs w:val="20"/>
                <w:shd w:val="clear" w:color="auto" w:fill="FFFFFF"/>
                <w:lang w:val="el-GR"/>
              </w:rPr>
              <w:t xml:space="preserve">. στον </w:t>
            </w:r>
            <w:proofErr w:type="spellStart"/>
            <w:r>
              <w:rPr>
                <w:rFonts w:asciiTheme="minorHAnsi" w:hAnsiTheme="minorHAnsi" w:cstheme="minorHAnsi"/>
                <w:color w:val="000000"/>
                <w:sz w:val="20"/>
                <w:szCs w:val="20"/>
                <w:shd w:val="clear" w:color="auto" w:fill="FFFFFF"/>
                <w:lang w:val="el-GR"/>
              </w:rPr>
              <w:t>Εύδοξο</w:t>
            </w:r>
            <w:proofErr w:type="spellEnd"/>
            <w:r>
              <w:rPr>
                <w:rFonts w:asciiTheme="minorHAnsi" w:hAnsiTheme="minorHAnsi" w:cstheme="minorHAnsi"/>
                <w:color w:val="000000"/>
                <w:sz w:val="20"/>
                <w:szCs w:val="20"/>
                <w:shd w:val="clear" w:color="auto" w:fill="FFFFFF"/>
                <w:lang w:val="el-GR"/>
              </w:rPr>
              <w:t xml:space="preserve">: 102070003]. </w:t>
            </w:r>
            <w:hyperlink r:id="rId9" w:anchor="a/id:102070003/0" w:tgtFrame="lthAj-FPJ-Ctp9K_p0RpWw1" w:history="1">
              <w:r w:rsidR="00C8505E" w:rsidRPr="00B0612A">
                <w:rPr>
                  <w:rStyle w:val="-"/>
                  <w:rFonts w:asciiTheme="minorHAnsi" w:hAnsiTheme="minorHAnsi" w:cstheme="minorHAnsi"/>
                  <w:sz w:val="20"/>
                  <w:szCs w:val="20"/>
                  <w:shd w:val="clear" w:color="auto" w:fill="FFFFFF"/>
                </w:rPr>
                <w:t>https</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service</w:t>
              </w:r>
              <w:r w:rsidR="00C8505E" w:rsidRPr="00B0612A">
                <w:rPr>
                  <w:rStyle w:val="-"/>
                  <w:rFonts w:asciiTheme="minorHAnsi" w:hAnsiTheme="minorHAnsi" w:cstheme="minorHAnsi"/>
                  <w:sz w:val="20"/>
                  <w:szCs w:val="20"/>
                  <w:shd w:val="clear" w:color="auto" w:fill="FFFFFF"/>
                  <w:lang w:val="el-GR"/>
                </w:rPr>
                <w:t>.</w:t>
              </w:r>
              <w:proofErr w:type="spellStart"/>
              <w:r w:rsidR="00C8505E" w:rsidRPr="00B0612A">
                <w:rPr>
                  <w:rStyle w:val="-"/>
                  <w:rFonts w:asciiTheme="minorHAnsi" w:hAnsiTheme="minorHAnsi" w:cstheme="minorHAnsi"/>
                  <w:sz w:val="20"/>
                  <w:szCs w:val="20"/>
                  <w:shd w:val="clear" w:color="auto" w:fill="FFFFFF"/>
                </w:rPr>
                <w:t>eudoxus</w:t>
              </w:r>
              <w:proofErr w:type="spellEnd"/>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gr</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search</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a</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id</w:t>
              </w:r>
              <w:r w:rsidR="00C8505E" w:rsidRPr="00B0612A">
                <w:rPr>
                  <w:rStyle w:val="-"/>
                  <w:rFonts w:asciiTheme="minorHAnsi" w:hAnsiTheme="minorHAnsi" w:cstheme="minorHAnsi"/>
                  <w:sz w:val="20"/>
                  <w:szCs w:val="20"/>
                  <w:shd w:val="clear" w:color="auto" w:fill="FFFFFF"/>
                  <w:lang w:val="el-GR"/>
                </w:rPr>
                <w:t>:102070003/0</w:t>
              </w:r>
            </w:hyperlink>
          </w:p>
          <w:p w14:paraId="0924F6D7" w14:textId="66805503" w:rsidR="00C8505E" w:rsidRPr="00B0612A" w:rsidRDefault="009526A4" w:rsidP="00B0612A">
            <w:pPr>
              <w:spacing w:line="360" w:lineRule="auto"/>
              <w:contextualSpacing/>
              <w:rPr>
                <w:rFonts w:asciiTheme="minorHAnsi" w:hAnsiTheme="minorHAnsi" w:cstheme="minorHAnsi"/>
                <w:color w:val="000000"/>
                <w:sz w:val="20"/>
                <w:szCs w:val="20"/>
                <w:shd w:val="clear" w:color="auto" w:fill="FFFFFF"/>
                <w:lang w:val="el-GR"/>
              </w:rPr>
            </w:pPr>
            <w:proofErr w:type="spellStart"/>
            <w:r>
              <w:rPr>
                <w:rFonts w:asciiTheme="minorHAnsi" w:hAnsiTheme="minorHAnsi" w:cstheme="minorHAnsi"/>
                <w:color w:val="000000"/>
                <w:sz w:val="20"/>
                <w:szCs w:val="20"/>
                <w:shd w:val="clear" w:color="auto" w:fill="FFFFFF"/>
                <w:lang w:val="el-GR"/>
              </w:rPr>
              <w:t>Χέβας</w:t>
            </w:r>
            <w:proofErr w:type="spellEnd"/>
            <w:r>
              <w:rPr>
                <w:rFonts w:asciiTheme="minorHAnsi" w:hAnsiTheme="minorHAnsi" w:cstheme="minorHAnsi"/>
                <w:color w:val="000000"/>
                <w:sz w:val="20"/>
                <w:szCs w:val="20"/>
                <w:shd w:val="clear" w:color="auto" w:fill="FFFFFF"/>
                <w:lang w:val="el-GR"/>
              </w:rPr>
              <w:t xml:space="preserve">, Δ. (2017). </w:t>
            </w:r>
            <w:r w:rsidRPr="009526A4">
              <w:rPr>
                <w:rFonts w:asciiTheme="minorHAnsi" w:hAnsiTheme="minorHAnsi" w:cstheme="minorHAnsi"/>
                <w:i/>
                <w:iCs/>
                <w:color w:val="000000"/>
                <w:sz w:val="20"/>
                <w:szCs w:val="20"/>
                <w:shd w:val="clear" w:color="auto" w:fill="FFFFFF"/>
                <w:lang w:val="el-GR"/>
              </w:rPr>
              <w:t>Θέματα φορολογικής λογιστικής</w:t>
            </w:r>
            <w:r>
              <w:rPr>
                <w:rFonts w:asciiTheme="minorHAnsi" w:hAnsiTheme="minorHAnsi" w:cstheme="minorHAnsi"/>
                <w:color w:val="000000"/>
                <w:sz w:val="20"/>
                <w:szCs w:val="20"/>
                <w:shd w:val="clear" w:color="auto" w:fill="FFFFFF"/>
                <w:lang w:val="el-GR"/>
              </w:rPr>
              <w:t>. 6</w:t>
            </w:r>
            <w:r w:rsidRPr="009526A4">
              <w:rPr>
                <w:rFonts w:asciiTheme="minorHAnsi" w:hAnsiTheme="minorHAnsi" w:cstheme="minorHAnsi"/>
                <w:color w:val="000000"/>
                <w:sz w:val="20"/>
                <w:szCs w:val="20"/>
                <w:shd w:val="clear" w:color="auto" w:fill="FFFFFF"/>
                <w:vertAlign w:val="superscript"/>
                <w:lang w:val="el-GR"/>
              </w:rPr>
              <w:t>η</w:t>
            </w:r>
            <w:r>
              <w:rPr>
                <w:rFonts w:asciiTheme="minorHAnsi" w:hAnsiTheme="minorHAnsi" w:cstheme="minorHAnsi"/>
                <w:color w:val="000000"/>
                <w:sz w:val="20"/>
                <w:szCs w:val="20"/>
                <w:shd w:val="clear" w:color="auto" w:fill="FFFFFF"/>
                <w:lang w:val="el-GR"/>
              </w:rPr>
              <w:t xml:space="preserve"> </w:t>
            </w:r>
            <w:proofErr w:type="spellStart"/>
            <w:r>
              <w:rPr>
                <w:rFonts w:asciiTheme="minorHAnsi" w:hAnsiTheme="minorHAnsi" w:cstheme="minorHAnsi"/>
                <w:color w:val="000000"/>
                <w:sz w:val="20"/>
                <w:szCs w:val="20"/>
                <w:shd w:val="clear" w:color="auto" w:fill="FFFFFF"/>
                <w:lang w:val="el-GR"/>
              </w:rPr>
              <w:t>εκδ</w:t>
            </w:r>
            <w:proofErr w:type="spellEnd"/>
            <w:r>
              <w:rPr>
                <w:rFonts w:asciiTheme="minorHAnsi" w:hAnsiTheme="minorHAnsi" w:cstheme="minorHAnsi"/>
                <w:color w:val="000000"/>
                <w:sz w:val="20"/>
                <w:szCs w:val="20"/>
                <w:shd w:val="clear" w:color="auto" w:fill="FFFFFF"/>
                <w:lang w:val="el-GR"/>
              </w:rPr>
              <w:t>. Αθήνα: Εκδόσεις Μπένου. [</w:t>
            </w:r>
            <w:proofErr w:type="spellStart"/>
            <w:r>
              <w:rPr>
                <w:rFonts w:asciiTheme="minorHAnsi" w:hAnsiTheme="minorHAnsi" w:cstheme="minorHAnsi"/>
                <w:color w:val="000000"/>
                <w:sz w:val="20"/>
                <w:szCs w:val="20"/>
                <w:shd w:val="clear" w:color="auto" w:fill="FFFFFF"/>
                <w:lang w:val="el-GR"/>
              </w:rPr>
              <w:t>κωδ</w:t>
            </w:r>
            <w:proofErr w:type="spellEnd"/>
            <w:r>
              <w:rPr>
                <w:rFonts w:asciiTheme="minorHAnsi" w:hAnsiTheme="minorHAnsi" w:cstheme="minorHAnsi"/>
                <w:color w:val="000000"/>
                <w:sz w:val="20"/>
                <w:szCs w:val="20"/>
                <w:shd w:val="clear" w:color="auto" w:fill="FFFFFF"/>
                <w:lang w:val="el-GR"/>
              </w:rPr>
              <w:t xml:space="preserve">. στον </w:t>
            </w:r>
            <w:proofErr w:type="spellStart"/>
            <w:r>
              <w:rPr>
                <w:rFonts w:asciiTheme="minorHAnsi" w:hAnsiTheme="minorHAnsi" w:cstheme="minorHAnsi"/>
                <w:color w:val="000000"/>
                <w:sz w:val="20"/>
                <w:szCs w:val="20"/>
                <w:shd w:val="clear" w:color="auto" w:fill="FFFFFF"/>
                <w:lang w:val="el-GR"/>
              </w:rPr>
              <w:t>Εύδοξο</w:t>
            </w:r>
            <w:proofErr w:type="spellEnd"/>
            <w:r>
              <w:rPr>
                <w:rFonts w:asciiTheme="minorHAnsi" w:hAnsiTheme="minorHAnsi" w:cstheme="minorHAnsi"/>
                <w:color w:val="000000"/>
                <w:sz w:val="20"/>
                <w:szCs w:val="20"/>
                <w:shd w:val="clear" w:color="auto" w:fill="FFFFFF"/>
                <w:lang w:val="el-GR"/>
              </w:rPr>
              <w:t xml:space="preserve">: 68398935]. </w:t>
            </w:r>
            <w:hyperlink r:id="rId10" w:anchor="a/id:68398935/0" w:history="1">
              <w:r w:rsidR="00C8505E" w:rsidRPr="00B0612A">
                <w:rPr>
                  <w:rStyle w:val="-"/>
                  <w:rFonts w:asciiTheme="minorHAnsi" w:hAnsiTheme="minorHAnsi" w:cstheme="minorHAnsi"/>
                  <w:sz w:val="20"/>
                  <w:szCs w:val="20"/>
                  <w:shd w:val="clear" w:color="auto" w:fill="FFFFFF"/>
                </w:rPr>
                <w:t>https</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service</w:t>
              </w:r>
              <w:r w:rsidR="00C8505E" w:rsidRPr="00B0612A">
                <w:rPr>
                  <w:rStyle w:val="-"/>
                  <w:rFonts w:asciiTheme="minorHAnsi" w:hAnsiTheme="minorHAnsi" w:cstheme="minorHAnsi"/>
                  <w:sz w:val="20"/>
                  <w:szCs w:val="20"/>
                  <w:shd w:val="clear" w:color="auto" w:fill="FFFFFF"/>
                  <w:lang w:val="el-GR"/>
                </w:rPr>
                <w:t>.</w:t>
              </w:r>
              <w:proofErr w:type="spellStart"/>
              <w:r w:rsidR="00C8505E" w:rsidRPr="00B0612A">
                <w:rPr>
                  <w:rStyle w:val="-"/>
                  <w:rFonts w:asciiTheme="minorHAnsi" w:hAnsiTheme="minorHAnsi" w:cstheme="minorHAnsi"/>
                  <w:sz w:val="20"/>
                  <w:szCs w:val="20"/>
                  <w:shd w:val="clear" w:color="auto" w:fill="FFFFFF"/>
                </w:rPr>
                <w:t>eudoxus</w:t>
              </w:r>
              <w:proofErr w:type="spellEnd"/>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gr</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search</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a</w:t>
              </w:r>
              <w:r w:rsidR="00C8505E" w:rsidRPr="00B0612A">
                <w:rPr>
                  <w:rStyle w:val="-"/>
                  <w:rFonts w:asciiTheme="minorHAnsi" w:hAnsiTheme="minorHAnsi" w:cstheme="minorHAnsi"/>
                  <w:sz w:val="20"/>
                  <w:szCs w:val="20"/>
                  <w:shd w:val="clear" w:color="auto" w:fill="FFFFFF"/>
                  <w:lang w:val="el-GR"/>
                </w:rPr>
                <w:t>/</w:t>
              </w:r>
              <w:r w:rsidR="00C8505E" w:rsidRPr="00B0612A">
                <w:rPr>
                  <w:rStyle w:val="-"/>
                  <w:rFonts w:asciiTheme="minorHAnsi" w:hAnsiTheme="minorHAnsi" w:cstheme="minorHAnsi"/>
                  <w:sz w:val="20"/>
                  <w:szCs w:val="20"/>
                  <w:shd w:val="clear" w:color="auto" w:fill="FFFFFF"/>
                </w:rPr>
                <w:t>id</w:t>
              </w:r>
              <w:r w:rsidR="00C8505E" w:rsidRPr="00B0612A">
                <w:rPr>
                  <w:rStyle w:val="-"/>
                  <w:rFonts w:asciiTheme="minorHAnsi" w:hAnsiTheme="minorHAnsi" w:cstheme="minorHAnsi"/>
                  <w:sz w:val="20"/>
                  <w:szCs w:val="20"/>
                  <w:shd w:val="clear" w:color="auto" w:fill="FFFFFF"/>
                  <w:lang w:val="el-GR"/>
                </w:rPr>
                <w:t>:68398935/0</w:t>
              </w:r>
            </w:hyperlink>
            <w:r w:rsidR="00C8505E" w:rsidRPr="00B0612A">
              <w:rPr>
                <w:rFonts w:asciiTheme="minorHAnsi" w:hAnsiTheme="minorHAnsi" w:cstheme="minorHAnsi"/>
                <w:color w:val="000000"/>
                <w:sz w:val="20"/>
                <w:szCs w:val="20"/>
                <w:shd w:val="clear" w:color="auto" w:fill="FFFFFF"/>
                <w:lang w:val="el-GR"/>
              </w:rPr>
              <w:t xml:space="preserve"> </w:t>
            </w:r>
          </w:p>
          <w:p w14:paraId="6A1E5BC9" w14:textId="77777777" w:rsidR="00C8505E" w:rsidRPr="00B0612A" w:rsidRDefault="00C8505E" w:rsidP="00B0612A">
            <w:pPr>
              <w:spacing w:line="360" w:lineRule="auto"/>
              <w:contextualSpacing/>
              <w:rPr>
                <w:rFonts w:asciiTheme="minorHAnsi" w:hAnsiTheme="minorHAnsi" w:cstheme="minorHAnsi"/>
                <w:color w:val="000000"/>
                <w:sz w:val="20"/>
                <w:szCs w:val="20"/>
                <w:shd w:val="clear" w:color="auto" w:fill="FFFFFF"/>
                <w:lang w:val="el-GR"/>
              </w:rPr>
            </w:pPr>
          </w:p>
          <w:p w14:paraId="3697F489" w14:textId="1793C191" w:rsidR="000F4FD4" w:rsidRPr="00B0612A" w:rsidRDefault="00A8723B" w:rsidP="00B0612A">
            <w:pPr>
              <w:spacing w:line="360" w:lineRule="auto"/>
              <w:contextualSpacing/>
              <w:jc w:val="both"/>
              <w:rPr>
                <w:rFonts w:asciiTheme="minorHAnsi" w:hAnsiTheme="minorHAnsi" w:cstheme="minorHAnsi"/>
                <w:b/>
                <w:bCs/>
                <w:i/>
                <w:sz w:val="20"/>
                <w:szCs w:val="20"/>
                <w:lang w:val="el-GR"/>
              </w:rPr>
            </w:pPr>
            <w:r w:rsidRPr="00B0612A">
              <w:rPr>
                <w:rFonts w:asciiTheme="minorHAnsi" w:hAnsiTheme="minorHAnsi" w:cstheme="minorHAnsi"/>
                <w:b/>
                <w:bCs/>
                <w:i/>
                <w:sz w:val="20"/>
                <w:szCs w:val="20"/>
                <w:lang w:val="el-GR"/>
              </w:rPr>
              <w:t xml:space="preserve">- </w:t>
            </w:r>
            <w:r w:rsidR="000F4FD4" w:rsidRPr="00B0612A">
              <w:rPr>
                <w:rFonts w:asciiTheme="minorHAnsi" w:hAnsiTheme="minorHAnsi" w:cstheme="minorHAnsi"/>
                <w:b/>
                <w:bCs/>
                <w:i/>
                <w:sz w:val="20"/>
                <w:szCs w:val="20"/>
                <w:lang w:val="el-GR"/>
              </w:rPr>
              <w:t xml:space="preserve">Συναφή </w:t>
            </w:r>
            <w:r w:rsidR="006A15B9" w:rsidRPr="00B0612A">
              <w:rPr>
                <w:rFonts w:asciiTheme="minorHAnsi" w:hAnsiTheme="minorHAnsi" w:cstheme="minorHAnsi"/>
                <w:b/>
                <w:bCs/>
                <w:i/>
                <w:sz w:val="20"/>
                <w:szCs w:val="20"/>
                <w:lang w:val="el-GR"/>
              </w:rPr>
              <w:t xml:space="preserve">ενδεικτικά </w:t>
            </w:r>
            <w:r w:rsidR="000F4FD4" w:rsidRPr="00B0612A">
              <w:rPr>
                <w:rFonts w:asciiTheme="minorHAnsi" w:hAnsiTheme="minorHAnsi" w:cstheme="minorHAnsi"/>
                <w:b/>
                <w:bCs/>
                <w:i/>
                <w:sz w:val="20"/>
                <w:szCs w:val="20"/>
                <w:lang w:val="el-GR"/>
              </w:rPr>
              <w:t>επιστημονικά περιοδικά:</w:t>
            </w:r>
          </w:p>
          <w:p w14:paraId="4063F9B0" w14:textId="77777777" w:rsidR="00751638" w:rsidRPr="00B0612A" w:rsidRDefault="00654104" w:rsidP="00B0612A">
            <w:pPr>
              <w:spacing w:line="360" w:lineRule="auto"/>
              <w:contextualSpacing/>
              <w:jc w:val="both"/>
              <w:rPr>
                <w:rFonts w:asciiTheme="minorHAnsi" w:hAnsiTheme="minorHAnsi" w:cstheme="minorHAnsi"/>
                <w:bCs/>
                <w:sz w:val="20"/>
                <w:szCs w:val="20"/>
                <w:lang w:val="el-GR"/>
              </w:rPr>
            </w:pPr>
            <w:r w:rsidRPr="00B0612A">
              <w:rPr>
                <w:rFonts w:asciiTheme="minorHAnsi" w:hAnsiTheme="minorHAnsi" w:cstheme="minorHAnsi"/>
                <w:bCs/>
                <w:sz w:val="20"/>
                <w:szCs w:val="20"/>
              </w:rPr>
              <w:t>British</w:t>
            </w:r>
            <w:r w:rsidRPr="00B0612A">
              <w:rPr>
                <w:rFonts w:asciiTheme="minorHAnsi" w:hAnsiTheme="minorHAnsi" w:cstheme="minorHAnsi"/>
                <w:bCs/>
                <w:sz w:val="20"/>
                <w:szCs w:val="20"/>
                <w:lang w:val="el-GR"/>
              </w:rPr>
              <w:t xml:space="preserve"> </w:t>
            </w:r>
            <w:r w:rsidRPr="00B0612A">
              <w:rPr>
                <w:rFonts w:asciiTheme="minorHAnsi" w:hAnsiTheme="minorHAnsi" w:cstheme="minorHAnsi"/>
                <w:bCs/>
                <w:sz w:val="20"/>
                <w:szCs w:val="20"/>
              </w:rPr>
              <w:t>Tax</w:t>
            </w:r>
            <w:r w:rsidRPr="00B0612A">
              <w:rPr>
                <w:rFonts w:asciiTheme="minorHAnsi" w:hAnsiTheme="minorHAnsi" w:cstheme="minorHAnsi"/>
                <w:bCs/>
                <w:sz w:val="20"/>
                <w:szCs w:val="20"/>
                <w:lang w:val="el-GR"/>
              </w:rPr>
              <w:t xml:space="preserve"> </w:t>
            </w:r>
            <w:r w:rsidRPr="00B0612A">
              <w:rPr>
                <w:rFonts w:asciiTheme="minorHAnsi" w:hAnsiTheme="minorHAnsi" w:cstheme="minorHAnsi"/>
                <w:bCs/>
                <w:sz w:val="20"/>
                <w:szCs w:val="20"/>
              </w:rPr>
              <w:t>Review</w:t>
            </w:r>
          </w:p>
          <w:p w14:paraId="3E14CC64" w14:textId="77777777" w:rsidR="00654104" w:rsidRPr="00B0612A" w:rsidRDefault="00654104" w:rsidP="00B0612A">
            <w:pPr>
              <w:spacing w:line="360" w:lineRule="auto"/>
              <w:contextualSpacing/>
              <w:jc w:val="both"/>
              <w:rPr>
                <w:rFonts w:asciiTheme="minorHAnsi" w:hAnsiTheme="minorHAnsi" w:cstheme="minorHAnsi"/>
                <w:bCs/>
                <w:sz w:val="20"/>
                <w:szCs w:val="20"/>
              </w:rPr>
            </w:pPr>
            <w:r w:rsidRPr="00B0612A">
              <w:rPr>
                <w:rFonts w:asciiTheme="minorHAnsi" w:hAnsiTheme="minorHAnsi" w:cstheme="minorHAnsi"/>
                <w:bCs/>
                <w:sz w:val="20"/>
                <w:szCs w:val="20"/>
              </w:rPr>
              <w:t>Journal of the American Taxation Association</w:t>
            </w:r>
          </w:p>
          <w:p w14:paraId="234E9E98" w14:textId="77777777" w:rsidR="00654104" w:rsidRPr="00B0612A" w:rsidRDefault="00654104" w:rsidP="00B0612A">
            <w:pPr>
              <w:spacing w:line="360" w:lineRule="auto"/>
              <w:contextualSpacing/>
              <w:jc w:val="both"/>
              <w:rPr>
                <w:rFonts w:asciiTheme="minorHAnsi" w:hAnsiTheme="minorHAnsi" w:cstheme="minorHAnsi"/>
                <w:bCs/>
                <w:sz w:val="20"/>
                <w:szCs w:val="20"/>
              </w:rPr>
            </w:pPr>
            <w:r w:rsidRPr="00B0612A">
              <w:rPr>
                <w:rFonts w:asciiTheme="minorHAnsi" w:hAnsiTheme="minorHAnsi" w:cstheme="minorHAnsi"/>
                <w:bCs/>
                <w:sz w:val="20"/>
                <w:szCs w:val="20"/>
              </w:rPr>
              <w:t>Advances in Taxation</w:t>
            </w:r>
          </w:p>
          <w:p w14:paraId="42A02090" w14:textId="77777777" w:rsidR="00654104" w:rsidRPr="00B0612A" w:rsidRDefault="00654104" w:rsidP="00B0612A">
            <w:pPr>
              <w:spacing w:line="360" w:lineRule="auto"/>
              <w:contextualSpacing/>
              <w:jc w:val="both"/>
              <w:rPr>
                <w:rFonts w:asciiTheme="minorHAnsi" w:hAnsiTheme="minorHAnsi" w:cstheme="minorHAnsi"/>
                <w:bCs/>
                <w:sz w:val="20"/>
                <w:szCs w:val="20"/>
              </w:rPr>
            </w:pPr>
            <w:r w:rsidRPr="00B0612A">
              <w:rPr>
                <w:rFonts w:asciiTheme="minorHAnsi" w:hAnsiTheme="minorHAnsi" w:cstheme="minorHAnsi"/>
                <w:bCs/>
                <w:sz w:val="20"/>
                <w:szCs w:val="20"/>
              </w:rPr>
              <w:t>Journal of International Accounting, Auditing and Taxation</w:t>
            </w:r>
          </w:p>
          <w:p w14:paraId="3B85DEF3" w14:textId="77777777" w:rsidR="00654104" w:rsidRPr="00B0612A" w:rsidRDefault="00654104" w:rsidP="00B0612A">
            <w:pPr>
              <w:spacing w:line="360" w:lineRule="auto"/>
              <w:contextualSpacing/>
              <w:jc w:val="both"/>
              <w:rPr>
                <w:rFonts w:asciiTheme="minorHAnsi" w:hAnsiTheme="minorHAnsi" w:cstheme="minorHAnsi"/>
                <w:bCs/>
                <w:sz w:val="20"/>
                <w:szCs w:val="20"/>
              </w:rPr>
            </w:pPr>
            <w:r w:rsidRPr="00B0612A">
              <w:rPr>
                <w:rFonts w:asciiTheme="minorHAnsi" w:hAnsiTheme="minorHAnsi" w:cstheme="minorHAnsi"/>
                <w:bCs/>
                <w:sz w:val="20"/>
                <w:szCs w:val="20"/>
              </w:rPr>
              <w:t>Journal of Accounting and Taxation</w:t>
            </w:r>
          </w:p>
          <w:p w14:paraId="66388480" w14:textId="0644FAB8" w:rsidR="00654104" w:rsidRPr="00654104" w:rsidRDefault="00654104" w:rsidP="00B0612A">
            <w:pPr>
              <w:spacing w:line="360" w:lineRule="auto"/>
              <w:contextualSpacing/>
              <w:jc w:val="both"/>
              <w:rPr>
                <w:rFonts w:ascii="Calibri" w:hAnsi="Calibri" w:cs="Arial"/>
                <w:b/>
              </w:rPr>
            </w:pPr>
            <w:r w:rsidRPr="00B0612A">
              <w:rPr>
                <w:rFonts w:asciiTheme="minorHAnsi" w:hAnsiTheme="minorHAnsi" w:cstheme="minorHAnsi"/>
                <w:bCs/>
                <w:sz w:val="20"/>
                <w:szCs w:val="20"/>
              </w:rPr>
              <w:t>World Tax Journal</w:t>
            </w:r>
          </w:p>
        </w:tc>
      </w:tr>
    </w:tbl>
    <w:p w14:paraId="33833072" w14:textId="77777777" w:rsidR="000F4FD4" w:rsidRPr="00654104"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4AE649D3" w14:textId="77777777" w:rsidR="000F4FD4" w:rsidRPr="00654104" w:rsidRDefault="000F4FD4" w:rsidP="000F4FD4">
      <w:pPr>
        <w:rPr>
          <w:rFonts w:ascii="Cambria" w:hAnsi="Cambria"/>
          <w:b/>
          <w:bCs/>
          <w:sz w:val="28"/>
        </w:rPr>
      </w:pPr>
    </w:p>
    <w:sectPr w:rsidR="000F4FD4" w:rsidRPr="00654104" w:rsidSect="00305D37">
      <w:headerReference w:type="even" r:id="rId11"/>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8DEB" w14:textId="77777777" w:rsidR="004B5B2F" w:rsidRDefault="004B5B2F">
      <w:r>
        <w:separator/>
      </w:r>
    </w:p>
  </w:endnote>
  <w:endnote w:type="continuationSeparator" w:id="0">
    <w:p w14:paraId="0D42CB3C" w14:textId="77777777" w:rsidR="004B5B2F" w:rsidRDefault="004B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79F3" w14:textId="77777777" w:rsidR="004B5B2F" w:rsidRDefault="004B5B2F">
      <w:r>
        <w:separator/>
      </w:r>
    </w:p>
  </w:footnote>
  <w:footnote w:type="continuationSeparator" w:id="0">
    <w:p w14:paraId="5F89CBB5" w14:textId="77777777" w:rsidR="004B5B2F" w:rsidRDefault="004B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9F7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1BB6B4"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5B000E2"/>
    <w:multiLevelType w:val="hybridMultilevel"/>
    <w:tmpl w:val="275A13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9FE73C5"/>
    <w:multiLevelType w:val="hybridMultilevel"/>
    <w:tmpl w:val="46E891E4"/>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424354"/>
    <w:multiLevelType w:val="hybridMultilevel"/>
    <w:tmpl w:val="4D22A2B6"/>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3D56F6"/>
    <w:multiLevelType w:val="hybridMultilevel"/>
    <w:tmpl w:val="AAA2753E"/>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7306FD"/>
    <w:multiLevelType w:val="hybridMultilevel"/>
    <w:tmpl w:val="95068EE2"/>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8"/>
  </w:num>
  <w:num w:numId="8">
    <w:abstractNumId w:val="8"/>
  </w:num>
  <w:num w:numId="9">
    <w:abstractNumId w:val="37"/>
  </w:num>
  <w:num w:numId="10">
    <w:abstractNumId w:val="46"/>
  </w:num>
  <w:num w:numId="11">
    <w:abstractNumId w:val="19"/>
  </w:num>
  <w:num w:numId="12">
    <w:abstractNumId w:val="24"/>
  </w:num>
  <w:num w:numId="13">
    <w:abstractNumId w:val="8"/>
  </w:num>
  <w:num w:numId="14">
    <w:abstractNumId w:val="14"/>
  </w:num>
  <w:num w:numId="15">
    <w:abstractNumId w:val="41"/>
  </w:num>
  <w:num w:numId="16">
    <w:abstractNumId w:val="37"/>
  </w:num>
  <w:num w:numId="17">
    <w:abstractNumId w:val="12"/>
  </w:num>
  <w:num w:numId="18">
    <w:abstractNumId w:val="25"/>
  </w:num>
  <w:num w:numId="19">
    <w:abstractNumId w:val="0"/>
  </w:num>
  <w:num w:numId="20">
    <w:abstractNumId w:val="16"/>
  </w:num>
  <w:num w:numId="21">
    <w:abstractNumId w:val="6"/>
  </w:num>
  <w:num w:numId="22">
    <w:abstractNumId w:val="31"/>
  </w:num>
  <w:num w:numId="23">
    <w:abstractNumId w:val="11"/>
  </w:num>
  <w:num w:numId="24">
    <w:abstractNumId w:val="20"/>
  </w:num>
  <w:num w:numId="25">
    <w:abstractNumId w:val="1"/>
  </w:num>
  <w:num w:numId="26">
    <w:abstractNumId w:val="47"/>
  </w:num>
  <w:num w:numId="27">
    <w:abstractNumId w:val="35"/>
  </w:num>
  <w:num w:numId="28">
    <w:abstractNumId w:val="7"/>
  </w:num>
  <w:num w:numId="29">
    <w:abstractNumId w:val="26"/>
  </w:num>
  <w:num w:numId="30">
    <w:abstractNumId w:val="43"/>
  </w:num>
  <w:num w:numId="31">
    <w:abstractNumId w:val="9"/>
  </w:num>
  <w:num w:numId="32">
    <w:abstractNumId w:val="29"/>
  </w:num>
  <w:num w:numId="33">
    <w:abstractNumId w:val="22"/>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2"/>
  </w:num>
  <w:num w:numId="41">
    <w:abstractNumId w:val="17"/>
  </w:num>
  <w:num w:numId="42">
    <w:abstractNumId w:val="28"/>
  </w:num>
  <w:num w:numId="43">
    <w:abstractNumId w:val="30"/>
  </w:num>
  <w:num w:numId="44">
    <w:abstractNumId w:val="40"/>
  </w:num>
  <w:num w:numId="45">
    <w:abstractNumId w:val="3"/>
  </w:num>
  <w:num w:numId="46">
    <w:abstractNumId w:val="15"/>
  </w:num>
  <w:num w:numId="47">
    <w:abstractNumId w:val="36"/>
  </w:num>
  <w:num w:numId="48">
    <w:abstractNumId w:val="34"/>
  </w:num>
  <w:num w:numId="49">
    <w:abstractNumId w:val="38"/>
  </w:num>
  <w:num w:numId="5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0BF1"/>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25D12"/>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2EC2"/>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4B6A"/>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4B9"/>
    <w:rsid w:val="002B050C"/>
    <w:rsid w:val="002B132D"/>
    <w:rsid w:val="002B2516"/>
    <w:rsid w:val="002B2A53"/>
    <w:rsid w:val="002B4AF8"/>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0E69"/>
    <w:rsid w:val="003015D6"/>
    <w:rsid w:val="00301D54"/>
    <w:rsid w:val="003026B6"/>
    <w:rsid w:val="00302C56"/>
    <w:rsid w:val="00303462"/>
    <w:rsid w:val="00305870"/>
    <w:rsid w:val="00305D37"/>
    <w:rsid w:val="00307B48"/>
    <w:rsid w:val="00310E41"/>
    <w:rsid w:val="00311DF4"/>
    <w:rsid w:val="00312560"/>
    <w:rsid w:val="00315EE9"/>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B5A"/>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3826"/>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B2F"/>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178E"/>
    <w:rsid w:val="004F2431"/>
    <w:rsid w:val="004F3901"/>
    <w:rsid w:val="004F41D3"/>
    <w:rsid w:val="004F507F"/>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4643"/>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36D9"/>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4EE"/>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10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5B9"/>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751B"/>
    <w:rsid w:val="006F16F7"/>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638"/>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5C09"/>
    <w:rsid w:val="0078774E"/>
    <w:rsid w:val="007902DB"/>
    <w:rsid w:val="0079153C"/>
    <w:rsid w:val="00792630"/>
    <w:rsid w:val="007958F3"/>
    <w:rsid w:val="007960C1"/>
    <w:rsid w:val="007968A7"/>
    <w:rsid w:val="007A1BC2"/>
    <w:rsid w:val="007A3351"/>
    <w:rsid w:val="007A38CF"/>
    <w:rsid w:val="007A41C3"/>
    <w:rsid w:val="007A49D4"/>
    <w:rsid w:val="007A5EDF"/>
    <w:rsid w:val="007A64CE"/>
    <w:rsid w:val="007A75C5"/>
    <w:rsid w:val="007A7CD1"/>
    <w:rsid w:val="007B1C8B"/>
    <w:rsid w:val="007B2D2D"/>
    <w:rsid w:val="007B4717"/>
    <w:rsid w:val="007B5975"/>
    <w:rsid w:val="007B6466"/>
    <w:rsid w:val="007B744C"/>
    <w:rsid w:val="007B768A"/>
    <w:rsid w:val="007B775F"/>
    <w:rsid w:val="007B794C"/>
    <w:rsid w:val="007C05BC"/>
    <w:rsid w:val="007C0EF5"/>
    <w:rsid w:val="007C3F8E"/>
    <w:rsid w:val="007C4899"/>
    <w:rsid w:val="007C56D1"/>
    <w:rsid w:val="007C7BB6"/>
    <w:rsid w:val="007C7C19"/>
    <w:rsid w:val="007D2405"/>
    <w:rsid w:val="007D33CF"/>
    <w:rsid w:val="007D3CD9"/>
    <w:rsid w:val="007E05EC"/>
    <w:rsid w:val="007E277A"/>
    <w:rsid w:val="007E29E5"/>
    <w:rsid w:val="007E3B64"/>
    <w:rsid w:val="007E6482"/>
    <w:rsid w:val="007F00E3"/>
    <w:rsid w:val="007F1C55"/>
    <w:rsid w:val="007F217F"/>
    <w:rsid w:val="007F5893"/>
    <w:rsid w:val="007F58AA"/>
    <w:rsid w:val="0080065F"/>
    <w:rsid w:val="00800DF4"/>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070E"/>
    <w:rsid w:val="00855E56"/>
    <w:rsid w:val="008601ED"/>
    <w:rsid w:val="00861DE7"/>
    <w:rsid w:val="00864C7D"/>
    <w:rsid w:val="00866108"/>
    <w:rsid w:val="00866760"/>
    <w:rsid w:val="00866812"/>
    <w:rsid w:val="00866FF7"/>
    <w:rsid w:val="00867295"/>
    <w:rsid w:val="008714FF"/>
    <w:rsid w:val="00871569"/>
    <w:rsid w:val="00872447"/>
    <w:rsid w:val="00875E4E"/>
    <w:rsid w:val="00876C1F"/>
    <w:rsid w:val="00877B0F"/>
    <w:rsid w:val="008826A3"/>
    <w:rsid w:val="008840FF"/>
    <w:rsid w:val="00884410"/>
    <w:rsid w:val="00884FB6"/>
    <w:rsid w:val="0088716A"/>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26A4"/>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41E0"/>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50B3"/>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5F4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612A"/>
    <w:rsid w:val="00B10D57"/>
    <w:rsid w:val="00B13106"/>
    <w:rsid w:val="00B1500E"/>
    <w:rsid w:val="00B160B7"/>
    <w:rsid w:val="00B23D40"/>
    <w:rsid w:val="00B245EF"/>
    <w:rsid w:val="00B30FE0"/>
    <w:rsid w:val="00B32D90"/>
    <w:rsid w:val="00B3321C"/>
    <w:rsid w:val="00B34D0C"/>
    <w:rsid w:val="00B36D17"/>
    <w:rsid w:val="00B374D1"/>
    <w:rsid w:val="00B443A2"/>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39FA"/>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0E5"/>
    <w:rsid w:val="00C63B11"/>
    <w:rsid w:val="00C63ECF"/>
    <w:rsid w:val="00C6408E"/>
    <w:rsid w:val="00C723F3"/>
    <w:rsid w:val="00C73B78"/>
    <w:rsid w:val="00C75BA4"/>
    <w:rsid w:val="00C760A3"/>
    <w:rsid w:val="00C7650E"/>
    <w:rsid w:val="00C808E0"/>
    <w:rsid w:val="00C80950"/>
    <w:rsid w:val="00C80EAC"/>
    <w:rsid w:val="00C81911"/>
    <w:rsid w:val="00C8505E"/>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122"/>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5D4"/>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B29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55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fin.uth.gr/module-5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ervice.eudoxus.gr/search/" TargetMode="External"/><Relationship Id="rId4" Type="http://schemas.openxmlformats.org/officeDocument/2006/relationships/webSettings" Target="webSettings.xml"/><Relationship Id="rId9" Type="http://schemas.openxmlformats.org/officeDocument/2006/relationships/hyperlink" Target="https://service.eudoxus.gr/sear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1164</Words>
  <Characters>6287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NERANTZIDIS MICHALIS</cp:lastModifiedBy>
  <cp:revision>8</cp:revision>
  <cp:lastPrinted>2014-04-24T14:33:00Z</cp:lastPrinted>
  <dcterms:created xsi:type="dcterms:W3CDTF">2021-10-16T19:43:00Z</dcterms:created>
  <dcterms:modified xsi:type="dcterms:W3CDTF">2021-10-17T20:01:00Z</dcterms:modified>
</cp:coreProperties>
</file>