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69544E"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AE01DB" w:rsidRDefault="00AE01DB" w:rsidP="007673F3">
            <w:pPr>
              <w:rPr>
                <w:rFonts w:ascii="Calibri" w:hAnsi="Calibri" w:cs="Arial"/>
                <w:color w:val="002060"/>
                <w:sz w:val="20"/>
                <w:szCs w:val="20"/>
                <w:lang w:val="el-GR"/>
              </w:rPr>
            </w:pPr>
            <w:r w:rsidRPr="00AE01DB">
              <w:rPr>
                <w:rFonts w:ascii="Calibri" w:hAnsi="Calibri" w:cs="Arial"/>
                <w:color w:val="002060"/>
                <w:sz w:val="20"/>
                <w:szCs w:val="20"/>
                <w:lang w:val="el-GR"/>
              </w:rPr>
              <w:t>Σχολή Οικονομικών και Διοικητικών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AE01DB" w:rsidRDefault="00AE01DB"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69544E" w:rsidP="00F97F96">
            <w:pPr>
              <w:rPr>
                <w:rFonts w:ascii="Calibri" w:hAnsi="Calibri" w:cs="Arial"/>
                <w:b/>
                <w:sz w:val="20"/>
                <w:szCs w:val="20"/>
                <w:lang w:val="el-GR"/>
              </w:rPr>
            </w:pPr>
            <w:r>
              <w:rPr>
                <w:rFonts w:ascii="Calibri" w:hAnsi="Calibri" w:cs="Arial"/>
                <w:b/>
                <w:sz w:val="20"/>
                <w:szCs w:val="20"/>
                <w:lang w:val="el-GR"/>
              </w:rPr>
              <w:t>ΛΟ</w:t>
            </w:r>
            <w:r w:rsidR="00F97F96">
              <w:rPr>
                <w:rFonts w:ascii="Calibri" w:hAnsi="Calibri" w:cs="Arial"/>
                <w:b/>
                <w:sz w:val="20"/>
                <w:szCs w:val="20"/>
                <w:lang w:val="el-GR"/>
              </w:rPr>
              <w:t>603</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F97F96" w:rsidP="007673F3">
            <w:pPr>
              <w:rPr>
                <w:rFonts w:ascii="Calibri" w:hAnsi="Calibri" w:cs="Arial"/>
                <w:b/>
                <w:sz w:val="20"/>
                <w:szCs w:val="20"/>
                <w:lang w:val="el-GR"/>
              </w:rPr>
            </w:pPr>
            <w:r>
              <w:rPr>
                <w:rFonts w:ascii="Calibri" w:hAnsi="Calibri" w:cs="Arial"/>
                <w:b/>
                <w:sz w:val="20"/>
                <w:szCs w:val="20"/>
                <w:lang w:val="el-GR"/>
              </w:rPr>
              <w:t>Στ</w:t>
            </w:r>
            <w:r w:rsidR="00AE01DB">
              <w:rPr>
                <w:rFonts w:ascii="Calibri" w:hAnsi="Calibri" w:cs="Arial"/>
                <w:b/>
                <w:sz w:val="20"/>
                <w:szCs w:val="20"/>
                <w:lang w:val="el-GR"/>
              </w:rPr>
              <w:t>’</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AE01DB" w:rsidRDefault="00F97F96" w:rsidP="007673F3">
            <w:pPr>
              <w:rPr>
                <w:rFonts w:ascii="Calibri" w:hAnsi="Calibri" w:cs="Arial"/>
                <w:sz w:val="20"/>
                <w:szCs w:val="20"/>
                <w:lang w:val="el-GR"/>
              </w:rPr>
            </w:pPr>
            <w:r>
              <w:rPr>
                <w:rFonts w:ascii="Calibri" w:hAnsi="Calibri" w:cs="Arial"/>
                <w:sz w:val="20"/>
                <w:szCs w:val="20"/>
                <w:lang w:val="el-GR"/>
              </w:rPr>
              <w:t>Διοικητική Λογιστική</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36A54" w:rsidP="00036A54">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0F4FD4" w:rsidRPr="00705AAD" w:rsidRDefault="00AE01DB"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F97F96" w:rsidP="007673F3">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69544E"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69544E"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036A54" w:rsidP="007673F3">
            <w:pPr>
              <w:rPr>
                <w:rFonts w:ascii="Calibri" w:hAnsi="Calibri" w:cs="Arial"/>
                <w:color w:val="002060"/>
                <w:sz w:val="20"/>
                <w:szCs w:val="20"/>
                <w:lang w:val="el-GR"/>
              </w:rPr>
            </w:pPr>
            <w:r>
              <w:rPr>
                <w:rFonts w:ascii="Calibri" w:hAnsi="Calibri" w:cs="Arial"/>
                <w:color w:val="002060"/>
                <w:sz w:val="20"/>
                <w:szCs w:val="20"/>
                <w:lang w:val="el-GR"/>
              </w:rPr>
              <w:t>Ειδικού</w:t>
            </w:r>
            <w:r w:rsidR="00AE01DB">
              <w:rPr>
                <w:rFonts w:ascii="Calibri" w:hAnsi="Calibri" w:cs="Arial"/>
                <w:color w:val="002060"/>
                <w:sz w:val="20"/>
                <w:szCs w:val="20"/>
                <w:lang w:val="el-GR"/>
              </w:rPr>
              <w:t xml:space="preserve"> υποβάθρου</w:t>
            </w:r>
            <w:r>
              <w:rPr>
                <w:rFonts w:ascii="Calibri" w:hAnsi="Calibri" w:cs="Arial"/>
                <w:color w:val="002060"/>
                <w:sz w:val="20"/>
                <w:szCs w:val="20"/>
                <w:lang w:val="el-GR"/>
              </w:rPr>
              <w:t xml:space="preserve"> και ανάπτυξης δεξιοτήτων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AE01DB" w:rsidRDefault="00AE01DB"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AE01DB"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AE01DB" w:rsidRDefault="00AE01DB"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AE01DB">
        <w:tc>
          <w:tcPr>
            <w:tcW w:w="8472" w:type="dxa"/>
            <w:gridSpan w:val="2"/>
            <w:tcBorders>
              <w:bottom w:val="nil"/>
            </w:tcBorders>
            <w:shd w:val="clear" w:color="auto" w:fill="DDD9C3" w:themeFill="background2" w:themeFillShade="E6"/>
          </w:tcPr>
          <w:p w:rsidR="000F4FD4" w:rsidRPr="00705AAD" w:rsidRDefault="000F4FD4" w:rsidP="00AE01DB">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69544E" w:rsidTr="00AE01DB">
        <w:tc>
          <w:tcPr>
            <w:tcW w:w="8472" w:type="dxa"/>
            <w:gridSpan w:val="2"/>
            <w:tcBorders>
              <w:top w:val="nil"/>
            </w:tcBorders>
            <w:shd w:val="clear" w:color="auto" w:fill="DDD9C3" w:themeFill="background2" w:themeFillShade="E6"/>
          </w:tcPr>
          <w:p w:rsidR="000F4FD4" w:rsidRPr="00705AAD" w:rsidRDefault="000F4FD4" w:rsidP="00AE01DB">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AE01DB">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AE01DB">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AE01DB">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AE01DB">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69544E" w:rsidTr="00AE01DB">
        <w:tc>
          <w:tcPr>
            <w:tcW w:w="8472" w:type="dxa"/>
            <w:gridSpan w:val="2"/>
          </w:tcPr>
          <w:p w:rsidR="000F4FD4" w:rsidRPr="0069544E" w:rsidRDefault="000F4FD4" w:rsidP="00AE01DB">
            <w:pPr>
              <w:widowControl w:val="0"/>
              <w:autoSpaceDE w:val="0"/>
              <w:autoSpaceDN w:val="0"/>
              <w:adjustRightInd w:val="0"/>
              <w:rPr>
                <w:rFonts w:ascii="Calibri" w:eastAsia="Calibri" w:hAnsi="Calibri"/>
                <w:b/>
                <w:color w:val="002060"/>
                <w:lang w:val="el-GR"/>
              </w:rPr>
            </w:pPr>
          </w:p>
          <w:p w:rsidR="000F4FD4" w:rsidRDefault="0069544E" w:rsidP="00E6348C">
            <w:pPr>
              <w:pStyle w:val="ab"/>
              <w:widowControl w:val="0"/>
              <w:numPr>
                <w:ilvl w:val="0"/>
                <w:numId w:val="46"/>
              </w:numPr>
              <w:autoSpaceDE w:val="0"/>
              <w:autoSpaceDN w:val="0"/>
              <w:adjustRightInd w:val="0"/>
              <w:rPr>
                <w:rFonts w:eastAsia="Calibri"/>
                <w:b/>
                <w:color w:val="002060"/>
              </w:rPr>
            </w:pPr>
            <w:r>
              <w:rPr>
                <w:rFonts w:eastAsia="Calibri"/>
                <w:b/>
                <w:color w:val="002060"/>
              </w:rPr>
              <w:t xml:space="preserve">Να αναγνωρίζει τις διαφορετικές </w:t>
            </w:r>
            <w:r w:rsidR="00F97F96">
              <w:rPr>
                <w:rFonts w:eastAsia="Calibri"/>
                <w:b/>
                <w:color w:val="002060"/>
              </w:rPr>
              <w:t>μορφές κόστους και την επίδρασή τους στις διοικητικές αποφάσεις</w:t>
            </w:r>
          </w:p>
          <w:p w:rsidR="00E6348C" w:rsidRDefault="00E6348C" w:rsidP="00E6348C">
            <w:pPr>
              <w:pStyle w:val="ab"/>
              <w:widowControl w:val="0"/>
              <w:numPr>
                <w:ilvl w:val="0"/>
                <w:numId w:val="46"/>
              </w:numPr>
              <w:autoSpaceDE w:val="0"/>
              <w:autoSpaceDN w:val="0"/>
              <w:adjustRightInd w:val="0"/>
              <w:rPr>
                <w:rFonts w:eastAsia="Calibri"/>
                <w:b/>
                <w:color w:val="002060"/>
              </w:rPr>
            </w:pPr>
            <w:r>
              <w:rPr>
                <w:rFonts w:eastAsia="Calibri"/>
                <w:b/>
                <w:color w:val="002060"/>
              </w:rPr>
              <w:t xml:space="preserve">Να </w:t>
            </w:r>
            <w:r w:rsidR="00F97F96">
              <w:rPr>
                <w:rFonts w:eastAsia="Calibri"/>
                <w:b/>
                <w:color w:val="002060"/>
              </w:rPr>
              <w:t>εκτιμά την επίδραση των μεταβολών των κοστολογικών δεδομένων στην λήψη αποφάσεων</w:t>
            </w:r>
          </w:p>
          <w:p w:rsidR="000F0079" w:rsidRDefault="00F97F96" w:rsidP="00E6348C">
            <w:pPr>
              <w:pStyle w:val="ab"/>
              <w:widowControl w:val="0"/>
              <w:numPr>
                <w:ilvl w:val="0"/>
                <w:numId w:val="46"/>
              </w:numPr>
              <w:autoSpaceDE w:val="0"/>
              <w:autoSpaceDN w:val="0"/>
              <w:adjustRightInd w:val="0"/>
              <w:rPr>
                <w:rFonts w:eastAsia="Calibri"/>
                <w:b/>
                <w:color w:val="002060"/>
              </w:rPr>
            </w:pPr>
            <w:r>
              <w:rPr>
                <w:rFonts w:eastAsia="Calibri"/>
                <w:b/>
                <w:color w:val="002060"/>
              </w:rPr>
              <w:t>Να προβλέπει την επίδραση των διαφορετικών επιπέδων δραστηριότητας στα οικονομικά μεγέθη</w:t>
            </w:r>
          </w:p>
          <w:p w:rsidR="00E6348C" w:rsidRPr="000F0079" w:rsidRDefault="00E6348C" w:rsidP="00E6348C">
            <w:pPr>
              <w:pStyle w:val="ab"/>
              <w:widowControl w:val="0"/>
              <w:numPr>
                <w:ilvl w:val="0"/>
                <w:numId w:val="46"/>
              </w:numPr>
              <w:autoSpaceDE w:val="0"/>
              <w:autoSpaceDN w:val="0"/>
              <w:adjustRightInd w:val="0"/>
              <w:rPr>
                <w:rFonts w:eastAsia="Calibri"/>
                <w:b/>
                <w:color w:val="002060"/>
              </w:rPr>
            </w:pPr>
            <w:r w:rsidRPr="000F0079">
              <w:rPr>
                <w:rFonts w:eastAsia="Calibri"/>
                <w:b/>
                <w:color w:val="002060"/>
              </w:rPr>
              <w:t xml:space="preserve">Να </w:t>
            </w:r>
            <w:r w:rsidR="00976F58">
              <w:rPr>
                <w:rFonts w:eastAsia="Calibri"/>
                <w:b/>
                <w:color w:val="002060"/>
              </w:rPr>
              <w:t>συγκρίνει και να αντιπαραβάλει την επίδραση εναλλακτικών επιλογών για την επίλυση επιχειρηματικών προβλημάτων</w:t>
            </w:r>
          </w:p>
          <w:p w:rsidR="00F03B25" w:rsidRDefault="00F03B25" w:rsidP="00976F58">
            <w:pPr>
              <w:pStyle w:val="ab"/>
              <w:widowControl w:val="0"/>
              <w:autoSpaceDE w:val="0"/>
              <w:autoSpaceDN w:val="0"/>
              <w:adjustRightInd w:val="0"/>
              <w:rPr>
                <w:rFonts w:cs="Arial"/>
                <w:i/>
                <w:sz w:val="16"/>
                <w:szCs w:val="16"/>
              </w:rPr>
            </w:pPr>
          </w:p>
          <w:p w:rsidR="00976F58" w:rsidRPr="00705AAD" w:rsidRDefault="00976F58" w:rsidP="00976F58">
            <w:pPr>
              <w:pStyle w:val="ab"/>
              <w:widowControl w:val="0"/>
              <w:autoSpaceDE w:val="0"/>
              <w:autoSpaceDN w:val="0"/>
              <w:adjustRightInd w:val="0"/>
              <w:rPr>
                <w:rFonts w:cs="Arial"/>
                <w:i/>
                <w:sz w:val="16"/>
                <w:szCs w:val="16"/>
              </w:rPr>
            </w:pPr>
          </w:p>
        </w:tc>
      </w:tr>
      <w:tr w:rsidR="000F4FD4" w:rsidRPr="00705AAD" w:rsidTr="00AE01DB">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AE01DB">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69544E" w:rsidTr="00AE01DB">
        <w:tc>
          <w:tcPr>
            <w:tcW w:w="8472" w:type="dxa"/>
            <w:gridSpan w:val="2"/>
            <w:tcBorders>
              <w:top w:val="nil"/>
              <w:bottom w:val="nil"/>
            </w:tcBorders>
            <w:shd w:val="clear" w:color="auto" w:fill="DDD9C3" w:themeFill="background2" w:themeFillShade="E6"/>
          </w:tcPr>
          <w:p w:rsidR="000F4FD4" w:rsidRPr="00705AAD" w:rsidRDefault="000F4FD4" w:rsidP="00AE01DB">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AE01DB">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AE01DB">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AE01DB">
            <w:pPr>
              <w:rPr>
                <w:rFonts w:ascii="Calibri" w:hAnsi="Calibri" w:cs="Arial"/>
                <w:i/>
                <w:sz w:val="16"/>
                <w:szCs w:val="16"/>
                <w:lang w:val="el-GR"/>
              </w:rPr>
            </w:pPr>
            <w:r>
              <w:rPr>
                <w:rFonts w:ascii="Calibri" w:hAnsi="Calibri" w:cs="Arial"/>
                <w:i/>
                <w:sz w:val="16"/>
                <w:szCs w:val="16"/>
                <w:lang w:val="el-GR"/>
              </w:rPr>
              <w:t>……</w:t>
            </w:r>
          </w:p>
          <w:p w:rsidR="000F4FD4" w:rsidRDefault="000F4FD4" w:rsidP="00AE01DB">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AE01DB">
            <w:pPr>
              <w:rPr>
                <w:rFonts w:ascii="Calibri" w:hAnsi="Calibri" w:cs="Arial"/>
                <w:b/>
                <w:sz w:val="20"/>
                <w:szCs w:val="20"/>
                <w:lang w:val="el-GR"/>
              </w:rPr>
            </w:pPr>
            <w:r>
              <w:rPr>
                <w:rFonts w:ascii="Calibri" w:hAnsi="Calibri" w:cs="Arial"/>
                <w:i/>
                <w:sz w:val="16"/>
                <w:szCs w:val="16"/>
                <w:lang w:val="el-GR"/>
              </w:rPr>
              <w:t>…….</w:t>
            </w:r>
          </w:p>
        </w:tc>
      </w:tr>
      <w:tr w:rsidR="000F4FD4" w:rsidRPr="0069544E" w:rsidTr="00AE01DB">
        <w:tc>
          <w:tcPr>
            <w:tcW w:w="8472" w:type="dxa"/>
            <w:gridSpan w:val="2"/>
            <w:tcBorders>
              <w:bottom w:val="single" w:sz="4" w:space="0" w:color="auto"/>
            </w:tcBorders>
          </w:tcPr>
          <w:p w:rsidR="000F4FD4" w:rsidRPr="00705AAD" w:rsidRDefault="000F4FD4" w:rsidP="00AE01DB">
            <w:pPr>
              <w:rPr>
                <w:rFonts w:ascii="Calibri" w:hAnsi="Calibri" w:cs="Arial"/>
                <w:color w:val="002060"/>
                <w:sz w:val="20"/>
                <w:szCs w:val="20"/>
                <w:lang w:val="el-GR"/>
              </w:rPr>
            </w:pP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 xml:space="preserve">Αναζήτηση, ανάλυση και σύνθεση δεδομένων και πληροφοριών, με τη χρήση και των απαραίτητων τεχνολογιών </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 xml:space="preserve">Προσαρμογή σε νέες καταστάσεις </w:t>
            </w:r>
          </w:p>
          <w:p w:rsidR="000F4FD4"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Λήψη αποφάσεων</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Αυτόνομη εργασία</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Προαγωγή της ελεύθερης, δημιουργικής και επαγωγικής σκέψης</w:t>
            </w:r>
          </w:p>
          <w:p w:rsidR="000F4FD4" w:rsidRPr="00705AAD" w:rsidRDefault="000F4FD4" w:rsidP="00AE01DB">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9544E" w:rsidTr="007673F3">
        <w:tc>
          <w:tcPr>
            <w:tcW w:w="8472" w:type="dxa"/>
          </w:tcPr>
          <w:p w:rsidR="000F0079" w:rsidRPr="000F0079" w:rsidRDefault="000F0079" w:rsidP="000F0079">
            <w:pPr>
              <w:rPr>
                <w:rFonts w:ascii="Calibri" w:eastAsia="Calibri" w:hAnsi="Calibri"/>
                <w:iCs/>
                <w:color w:val="002060"/>
                <w:lang w:val="el-GR"/>
              </w:rPr>
            </w:pPr>
            <w:r w:rsidRPr="000F0079">
              <w:rPr>
                <w:rFonts w:ascii="Calibri" w:eastAsia="Calibri" w:hAnsi="Calibri"/>
                <w:b/>
                <w:iCs/>
                <w:color w:val="002060"/>
                <w:lang w:val="el-GR"/>
              </w:rPr>
              <w:t>1η ενότητα:</w:t>
            </w:r>
            <w:r w:rsidRPr="000F0079">
              <w:rPr>
                <w:rFonts w:ascii="Calibri" w:eastAsia="Calibri" w:hAnsi="Calibri"/>
                <w:iCs/>
                <w:color w:val="002060"/>
                <w:lang w:val="el-GR"/>
              </w:rPr>
              <w:t xml:space="preserve"> </w:t>
            </w:r>
            <w:r w:rsidR="00976F58">
              <w:rPr>
                <w:rFonts w:ascii="Calibri" w:eastAsia="Calibri" w:hAnsi="Calibri"/>
                <w:iCs/>
                <w:color w:val="002060"/>
                <w:lang w:val="el-GR"/>
              </w:rPr>
              <w:t xml:space="preserve">Διάκριση της Διοικητικής Λογιστικής </w:t>
            </w:r>
            <w:r w:rsidR="002A3A15">
              <w:rPr>
                <w:rFonts w:ascii="Calibri" w:eastAsia="Calibri" w:hAnsi="Calibri"/>
                <w:iCs/>
                <w:color w:val="002060"/>
                <w:lang w:val="el-GR"/>
              </w:rPr>
              <w:t xml:space="preserve">από τους </w:t>
            </w:r>
            <w:r w:rsidR="002A3A15">
              <w:rPr>
                <w:rFonts w:ascii="Calibri" w:eastAsia="Calibri" w:hAnsi="Calibri"/>
                <w:iCs/>
                <w:color w:val="002060"/>
                <w:lang w:val="el-GR"/>
              </w:rPr>
              <w:t>λοιπούς κλάδους της Λογιστικής</w:t>
            </w:r>
            <w:r w:rsidR="002A3A15">
              <w:rPr>
                <w:rFonts w:ascii="Calibri" w:eastAsia="Calibri" w:hAnsi="Calibri"/>
                <w:iCs/>
                <w:color w:val="002060"/>
                <w:lang w:val="el-GR"/>
              </w:rPr>
              <w:t>. Συγκριτική προσέγγιση επιχειρηματικών αποφάσεων</w:t>
            </w:r>
          </w:p>
          <w:p w:rsidR="00904DEF" w:rsidRDefault="000F0079" w:rsidP="00A07ECC">
            <w:pPr>
              <w:rPr>
                <w:rFonts w:ascii="Calibri" w:eastAsia="Calibri" w:hAnsi="Calibri"/>
                <w:iCs/>
                <w:color w:val="002060"/>
                <w:lang w:val="el-GR"/>
              </w:rPr>
            </w:pPr>
            <w:r w:rsidRPr="000F0079">
              <w:rPr>
                <w:rFonts w:ascii="Calibri" w:eastAsia="Calibri" w:hAnsi="Calibri"/>
                <w:b/>
                <w:iCs/>
                <w:color w:val="002060"/>
                <w:lang w:val="el-GR"/>
              </w:rPr>
              <w:t>2η ενότητα</w:t>
            </w:r>
            <w:r w:rsidRPr="000F0079">
              <w:rPr>
                <w:rFonts w:ascii="Calibri" w:eastAsia="Calibri" w:hAnsi="Calibri"/>
                <w:iCs/>
                <w:color w:val="002060"/>
                <w:lang w:val="el-GR"/>
              </w:rPr>
              <w:t xml:space="preserve"> : </w:t>
            </w:r>
            <w:r w:rsidR="00976F58">
              <w:rPr>
                <w:rFonts w:ascii="Calibri" w:eastAsia="Calibri" w:hAnsi="Calibri"/>
                <w:iCs/>
                <w:color w:val="002060"/>
                <w:lang w:val="el-GR"/>
              </w:rPr>
              <w:t>Υπολογισμός κοστολογικών μεγεθών σε πλήρη-μεταβλητή και εξατομικευμένη-μαζική κοστολόγηση</w:t>
            </w:r>
          </w:p>
          <w:p w:rsidR="00A07ECC" w:rsidRPr="000F0079" w:rsidRDefault="00275843" w:rsidP="00A07ECC">
            <w:pPr>
              <w:rPr>
                <w:rFonts w:ascii="Calibri" w:eastAsia="Calibri" w:hAnsi="Calibri"/>
                <w:iCs/>
                <w:color w:val="002060"/>
                <w:lang w:val="el-GR"/>
              </w:rPr>
            </w:pPr>
            <w:r w:rsidRPr="00A07ECC">
              <w:rPr>
                <w:rFonts w:ascii="Calibri" w:eastAsia="Calibri" w:hAnsi="Calibri"/>
                <w:b/>
                <w:iCs/>
                <w:color w:val="002060"/>
                <w:lang w:val="el-GR"/>
              </w:rPr>
              <w:t>3η ενότητα</w:t>
            </w:r>
            <w:r w:rsidR="00904DEF">
              <w:rPr>
                <w:rFonts w:ascii="Calibri" w:eastAsia="Calibri" w:hAnsi="Calibri"/>
                <w:b/>
                <w:iCs/>
                <w:color w:val="002060"/>
                <w:lang w:val="el-GR"/>
              </w:rPr>
              <w:t>:</w:t>
            </w:r>
            <w:r w:rsidRPr="00A07ECC">
              <w:rPr>
                <w:rFonts w:ascii="Calibri" w:eastAsia="Calibri" w:hAnsi="Calibri"/>
                <w:b/>
                <w:iCs/>
                <w:color w:val="002060"/>
                <w:lang w:val="el-GR"/>
              </w:rPr>
              <w:t xml:space="preserve"> </w:t>
            </w:r>
            <w:r w:rsidR="00976F58">
              <w:rPr>
                <w:rFonts w:ascii="Calibri" w:eastAsia="Calibri" w:hAnsi="Calibri"/>
                <w:iCs/>
                <w:color w:val="002060"/>
                <w:lang w:val="el-GR"/>
              </w:rPr>
              <w:t>Μερισμός και καταλογισμός</w:t>
            </w:r>
          </w:p>
          <w:p w:rsidR="000F0079" w:rsidRDefault="00275843" w:rsidP="000F0079">
            <w:pPr>
              <w:rPr>
                <w:rFonts w:ascii="Calibri" w:eastAsia="Calibri" w:hAnsi="Calibri"/>
                <w:iCs/>
                <w:color w:val="002060"/>
                <w:lang w:val="el-GR"/>
              </w:rPr>
            </w:pPr>
            <w:r>
              <w:rPr>
                <w:rFonts w:ascii="Calibri" w:eastAsia="Calibri" w:hAnsi="Calibri"/>
                <w:b/>
                <w:iCs/>
                <w:color w:val="002060"/>
                <w:lang w:val="el-GR"/>
              </w:rPr>
              <w:t>4</w:t>
            </w:r>
            <w:r w:rsidR="000F0079" w:rsidRPr="00A07ECC">
              <w:rPr>
                <w:rFonts w:ascii="Calibri" w:eastAsia="Calibri" w:hAnsi="Calibri"/>
                <w:b/>
                <w:iCs/>
                <w:color w:val="002060"/>
                <w:lang w:val="el-GR"/>
              </w:rPr>
              <w:t>η ενότητα :</w:t>
            </w:r>
            <w:r>
              <w:rPr>
                <w:rFonts w:ascii="Calibri" w:eastAsia="Calibri" w:hAnsi="Calibri"/>
                <w:iCs/>
                <w:color w:val="002060"/>
                <w:lang w:val="el-GR"/>
              </w:rPr>
              <w:t xml:space="preserve"> </w:t>
            </w:r>
            <w:r w:rsidR="00976F58">
              <w:rPr>
                <w:rFonts w:ascii="Calibri" w:eastAsia="Calibri" w:hAnsi="Calibri"/>
                <w:iCs/>
                <w:color w:val="002060"/>
                <w:lang w:val="el-GR"/>
              </w:rPr>
              <w:t>Κοστολόγηση Βάσει Δραστηριοτήτων</w:t>
            </w:r>
          </w:p>
          <w:p w:rsidR="00976F58" w:rsidRPr="000F0079" w:rsidRDefault="00976F58" w:rsidP="000F0079">
            <w:pPr>
              <w:rPr>
                <w:rFonts w:ascii="Calibri" w:eastAsia="Calibri" w:hAnsi="Calibri"/>
                <w:iCs/>
                <w:color w:val="002060"/>
                <w:lang w:val="el-GR"/>
              </w:rPr>
            </w:pPr>
            <w:r w:rsidRPr="00A07ECC">
              <w:rPr>
                <w:rFonts w:ascii="Calibri" w:eastAsia="Calibri" w:hAnsi="Calibri"/>
                <w:b/>
                <w:iCs/>
                <w:color w:val="002060"/>
                <w:lang w:val="el-GR"/>
              </w:rPr>
              <w:t>5η ενότητα</w:t>
            </w:r>
            <w:r w:rsidRPr="000F0079">
              <w:rPr>
                <w:rFonts w:ascii="Calibri" w:eastAsia="Calibri" w:hAnsi="Calibri"/>
                <w:iCs/>
                <w:color w:val="002060"/>
                <w:lang w:val="el-GR"/>
              </w:rPr>
              <w:t>:</w:t>
            </w:r>
            <w:r>
              <w:rPr>
                <w:rFonts w:ascii="Calibri" w:eastAsia="Calibri" w:hAnsi="Calibri"/>
                <w:iCs/>
                <w:color w:val="002060"/>
                <w:lang w:val="el-GR"/>
              </w:rPr>
              <w:t xml:space="preserve"> Αποφάσεις βάσει προσέγγισης νεκρού σημείου</w:t>
            </w:r>
          </w:p>
          <w:p w:rsidR="000F0079" w:rsidRPr="000F0079" w:rsidRDefault="002A3A15" w:rsidP="000F0079">
            <w:pPr>
              <w:rPr>
                <w:rFonts w:ascii="Calibri" w:eastAsia="Calibri" w:hAnsi="Calibri"/>
                <w:iCs/>
                <w:color w:val="002060"/>
                <w:lang w:val="el-GR"/>
              </w:rPr>
            </w:pPr>
            <w:r>
              <w:rPr>
                <w:rFonts w:ascii="Calibri" w:eastAsia="Calibri" w:hAnsi="Calibri"/>
                <w:b/>
                <w:iCs/>
                <w:color w:val="002060"/>
                <w:lang w:val="el-GR"/>
              </w:rPr>
              <w:t>6</w:t>
            </w:r>
            <w:r w:rsidR="00275843" w:rsidRPr="00A07ECC">
              <w:rPr>
                <w:rFonts w:ascii="Calibri" w:eastAsia="Calibri" w:hAnsi="Calibri"/>
                <w:b/>
                <w:iCs/>
                <w:color w:val="002060"/>
                <w:lang w:val="el-GR"/>
              </w:rPr>
              <w:t>η ενότητα</w:t>
            </w:r>
            <w:r w:rsidR="000F0079" w:rsidRPr="000F0079">
              <w:rPr>
                <w:rFonts w:ascii="Calibri" w:eastAsia="Calibri" w:hAnsi="Calibri"/>
                <w:iCs/>
                <w:color w:val="002060"/>
                <w:lang w:val="el-GR"/>
              </w:rPr>
              <w:t xml:space="preserve">: </w:t>
            </w:r>
            <w:r>
              <w:rPr>
                <w:rFonts w:ascii="Calibri" w:eastAsia="Calibri" w:hAnsi="Calibri"/>
                <w:iCs/>
                <w:color w:val="002060"/>
                <w:lang w:val="el-GR"/>
              </w:rPr>
              <w:t>Προγραμματισμός και σύνταξη προϋπολογισμών</w:t>
            </w:r>
          </w:p>
          <w:p w:rsidR="000F4FD4" w:rsidRPr="00705AAD" w:rsidRDefault="00275843" w:rsidP="002A3A15">
            <w:pPr>
              <w:rPr>
                <w:rFonts w:ascii="Calibri" w:hAnsi="Calibri" w:cs="Arial"/>
                <w:color w:val="002060"/>
                <w:sz w:val="20"/>
                <w:szCs w:val="20"/>
                <w:lang w:val="el-GR"/>
              </w:rPr>
            </w:pPr>
            <w:r>
              <w:rPr>
                <w:rFonts w:ascii="Calibri" w:eastAsia="Calibri" w:hAnsi="Calibri"/>
                <w:b/>
                <w:iCs/>
                <w:color w:val="002060"/>
                <w:lang w:val="el-GR"/>
              </w:rPr>
              <w:t>6</w:t>
            </w:r>
            <w:r w:rsidR="000F0079" w:rsidRPr="00A07ECC">
              <w:rPr>
                <w:rFonts w:ascii="Calibri" w:eastAsia="Calibri" w:hAnsi="Calibri"/>
                <w:b/>
                <w:iCs/>
                <w:color w:val="002060"/>
                <w:lang w:val="el-GR"/>
              </w:rPr>
              <w:t>η ενότητα :</w:t>
            </w:r>
            <w:r w:rsidR="000F0079" w:rsidRPr="000F0079">
              <w:rPr>
                <w:rFonts w:ascii="Calibri" w:eastAsia="Calibri" w:hAnsi="Calibri"/>
                <w:iCs/>
                <w:color w:val="002060"/>
                <w:lang w:val="el-GR"/>
              </w:rPr>
              <w:t xml:space="preserve"> </w:t>
            </w:r>
            <w:r w:rsidR="002A3A15">
              <w:rPr>
                <w:rFonts w:ascii="Calibri" w:eastAsia="Calibri" w:hAnsi="Calibri"/>
                <w:iCs/>
                <w:color w:val="002060"/>
                <w:lang w:val="el-GR"/>
              </w:rPr>
              <w:t>Πρότυπη κοστολόγηση και προσδιορισμός και διερεύνηση αποκλίσεων</w:t>
            </w:r>
          </w:p>
        </w:tc>
      </w:tr>
    </w:tbl>
    <w:p w:rsidR="00275843" w:rsidRDefault="00275843" w:rsidP="00275843">
      <w:pPr>
        <w:widowControl w:val="0"/>
        <w:autoSpaceDE w:val="0"/>
        <w:autoSpaceDN w:val="0"/>
        <w:adjustRightInd w:val="0"/>
        <w:spacing w:before="120" w:after="200" w:line="276" w:lineRule="auto"/>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69544E"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E75F88"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r w:rsidR="00036A54">
              <w:rPr>
                <w:rFonts w:ascii="Calibri" w:eastAsia="Calibri" w:hAnsi="Calibri"/>
                <w:iCs/>
                <w:color w:val="002060"/>
                <w:lang w:val="el-GR"/>
              </w:rPr>
              <w:t xml:space="preserve"> στην τάξη</w:t>
            </w:r>
          </w:p>
        </w:tc>
      </w:tr>
      <w:tr w:rsidR="000F4FD4" w:rsidRPr="0069544E"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36A54" w:rsidRPr="00036A54" w:rsidRDefault="00036A54" w:rsidP="00036A54">
            <w:pPr>
              <w:rPr>
                <w:rFonts w:ascii="Calibri" w:hAnsi="Calibri" w:cs="Arial"/>
                <w:b/>
                <w:color w:val="002060"/>
                <w:sz w:val="20"/>
                <w:szCs w:val="20"/>
                <w:lang w:val="el-GR"/>
              </w:rPr>
            </w:pPr>
            <w:r w:rsidRPr="00036A54">
              <w:rPr>
                <w:rFonts w:ascii="Calibri" w:hAnsi="Calibri" w:cs="Arial"/>
                <w:b/>
                <w:color w:val="002060"/>
                <w:sz w:val="20"/>
                <w:szCs w:val="20"/>
                <w:lang w:val="el-GR"/>
              </w:rPr>
              <w:t>Διαλέξεις με τη χρήση προβολικού και διαφανειών</w:t>
            </w:r>
          </w:p>
          <w:p w:rsidR="000F4FD4" w:rsidRPr="00F72B38" w:rsidRDefault="00036A54" w:rsidP="00CF313A">
            <w:pPr>
              <w:rPr>
                <w:rFonts w:ascii="Calibri" w:hAnsi="Calibri" w:cs="Arial"/>
                <w:b/>
                <w:color w:val="002060"/>
                <w:sz w:val="20"/>
                <w:szCs w:val="20"/>
                <w:lang w:val="el-GR"/>
              </w:rPr>
            </w:pPr>
            <w:r w:rsidRPr="00036A54">
              <w:rPr>
                <w:rFonts w:ascii="Calibri" w:hAnsi="Calibri" w:cs="Arial"/>
                <w:b/>
                <w:color w:val="002060"/>
                <w:sz w:val="20"/>
                <w:szCs w:val="20"/>
                <w:lang w:val="el-GR"/>
              </w:rPr>
              <w:t xml:space="preserve">τύπου </w:t>
            </w:r>
            <w:proofErr w:type="spellStart"/>
            <w:r w:rsidRPr="00036A54">
              <w:rPr>
                <w:rFonts w:ascii="Calibri" w:hAnsi="Calibri" w:cs="Arial"/>
                <w:b/>
                <w:color w:val="002060"/>
                <w:sz w:val="20"/>
                <w:szCs w:val="20"/>
                <w:lang w:val="el-GR"/>
              </w:rPr>
              <w:t>ppt</w:t>
            </w:r>
            <w:proofErr w:type="spellEnd"/>
            <w:r w:rsidR="00CF313A">
              <w:rPr>
                <w:rFonts w:ascii="Calibri" w:hAnsi="Calibri" w:cs="Arial"/>
                <w:b/>
                <w:color w:val="002060"/>
                <w:sz w:val="20"/>
                <w:szCs w:val="20"/>
                <w:lang w:val="el-GR"/>
              </w:rPr>
              <w:t xml:space="preserve">, </w:t>
            </w:r>
            <w:r w:rsidR="00CF313A">
              <w:rPr>
                <w:rFonts w:ascii="Calibri" w:hAnsi="Calibri" w:cs="Arial"/>
                <w:b/>
                <w:color w:val="002060"/>
                <w:sz w:val="20"/>
                <w:szCs w:val="20"/>
              </w:rPr>
              <w:t>pdf</w:t>
            </w:r>
            <w:r w:rsidR="00CF313A" w:rsidRPr="00CF313A">
              <w:rPr>
                <w:rFonts w:ascii="Calibri" w:hAnsi="Calibri" w:cs="Arial"/>
                <w:b/>
                <w:color w:val="002060"/>
                <w:sz w:val="20"/>
                <w:szCs w:val="20"/>
                <w:lang w:val="el-GR"/>
              </w:rPr>
              <w:t xml:space="preserve">, </w:t>
            </w:r>
            <w:proofErr w:type="spellStart"/>
            <w:r w:rsidR="00CF313A">
              <w:rPr>
                <w:rFonts w:ascii="Calibri" w:hAnsi="Calibri" w:cs="Arial"/>
                <w:b/>
                <w:color w:val="002060"/>
                <w:sz w:val="20"/>
                <w:szCs w:val="20"/>
              </w:rPr>
              <w:t>docx</w:t>
            </w:r>
            <w:proofErr w:type="spellEnd"/>
            <w:r w:rsidR="00CF313A" w:rsidRPr="00CF313A">
              <w:rPr>
                <w:rFonts w:ascii="Calibri" w:hAnsi="Calibri" w:cs="Arial"/>
                <w:b/>
                <w:color w:val="002060"/>
                <w:sz w:val="20"/>
                <w:szCs w:val="20"/>
                <w:lang w:val="el-GR"/>
              </w:rPr>
              <w:t xml:space="preserve"> </w:t>
            </w:r>
            <w:r w:rsidR="00CF313A">
              <w:rPr>
                <w:rFonts w:ascii="Calibri" w:hAnsi="Calibri" w:cs="Arial"/>
                <w:b/>
                <w:color w:val="002060"/>
                <w:sz w:val="20"/>
                <w:szCs w:val="20"/>
                <w:lang w:val="el-GR"/>
              </w:rPr>
              <w:t xml:space="preserve">και </w:t>
            </w:r>
            <w:proofErr w:type="spellStart"/>
            <w:r w:rsidR="00CF313A">
              <w:rPr>
                <w:rFonts w:ascii="Calibri" w:hAnsi="Calibri" w:cs="Arial"/>
                <w:b/>
                <w:color w:val="002060"/>
                <w:sz w:val="20"/>
                <w:szCs w:val="20"/>
              </w:rPr>
              <w:t>xls</w:t>
            </w:r>
            <w:proofErr w:type="spellEnd"/>
            <w:r w:rsidRPr="00036A54">
              <w:rPr>
                <w:rFonts w:ascii="Calibri" w:hAnsi="Calibri" w:cs="Arial"/>
                <w:b/>
                <w:color w:val="002060"/>
                <w:sz w:val="20"/>
                <w:szCs w:val="20"/>
                <w:lang w:val="el-GR"/>
              </w:rPr>
              <w:t>. Υποστήριξη μαθησιακής διαδικασίας μέσω</w:t>
            </w:r>
            <w:r w:rsidR="00CF313A" w:rsidRPr="00CF313A">
              <w:rPr>
                <w:rFonts w:ascii="Calibri" w:hAnsi="Calibri" w:cs="Arial"/>
                <w:b/>
                <w:color w:val="002060"/>
                <w:sz w:val="20"/>
                <w:szCs w:val="20"/>
                <w:lang w:val="el-GR"/>
              </w:rPr>
              <w:t xml:space="preserve"> </w:t>
            </w:r>
            <w:r w:rsidRPr="00036A54">
              <w:rPr>
                <w:rFonts w:ascii="Calibri" w:hAnsi="Calibri" w:cs="Arial"/>
                <w:b/>
                <w:color w:val="002060"/>
                <w:sz w:val="20"/>
                <w:szCs w:val="20"/>
                <w:lang w:val="el-GR"/>
              </w:rPr>
              <w:t xml:space="preserve">ηλεκτρονικής αλληλογραφίας, </w:t>
            </w:r>
            <w:r w:rsidR="00CF313A">
              <w:rPr>
                <w:rFonts w:ascii="Calibri" w:hAnsi="Calibri" w:cs="Arial"/>
                <w:b/>
                <w:color w:val="002060"/>
                <w:sz w:val="20"/>
                <w:szCs w:val="20"/>
                <w:lang w:val="el-GR"/>
              </w:rPr>
              <w:t xml:space="preserve">καθώς και διαθέσιμων εργαλείων </w:t>
            </w:r>
            <w:proofErr w:type="spellStart"/>
            <w:r w:rsidRPr="00036A54">
              <w:rPr>
                <w:rFonts w:ascii="Calibri" w:hAnsi="Calibri" w:cs="Arial"/>
                <w:b/>
                <w:color w:val="002060"/>
                <w:sz w:val="20"/>
                <w:szCs w:val="20"/>
                <w:lang w:val="el-GR"/>
              </w:rPr>
              <w:t>eclass</w:t>
            </w:r>
            <w:proofErr w:type="spellEnd"/>
            <w:r w:rsidRPr="00036A54">
              <w:rPr>
                <w:rFonts w:ascii="Calibri" w:hAnsi="Calibri" w:cs="Arial"/>
                <w:b/>
                <w:color w:val="002060"/>
                <w:sz w:val="20"/>
                <w:szCs w:val="20"/>
                <w:lang w:val="el-GR"/>
              </w:rPr>
              <w:t>.</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rsidTr="00DB7660">
              <w:trPr>
                <w:trHeight w:val="225"/>
              </w:trPr>
              <w:tc>
                <w:tcPr>
                  <w:tcW w:w="2467" w:type="dxa"/>
                </w:tcPr>
                <w:p w:rsidR="000F4FD4" w:rsidRPr="00990D80" w:rsidRDefault="00E75F88"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Διαλέξεις</w:t>
                  </w:r>
                </w:p>
              </w:tc>
              <w:tc>
                <w:tcPr>
                  <w:tcW w:w="2468" w:type="dxa"/>
                </w:tcPr>
                <w:p w:rsidR="000F4FD4" w:rsidRPr="00990D80" w:rsidRDefault="00F97F96"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40</w:t>
                  </w:r>
                </w:p>
              </w:tc>
            </w:tr>
            <w:tr w:rsidR="000F4FD4" w:rsidRPr="00990D80" w:rsidTr="007673F3">
              <w:tc>
                <w:tcPr>
                  <w:tcW w:w="2467" w:type="dxa"/>
                  <w:shd w:val="clear" w:color="auto" w:fill="auto"/>
                </w:tcPr>
                <w:p w:rsidR="000F4FD4" w:rsidRPr="00990D80" w:rsidRDefault="00990D80"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Εργαστηριακές ασκήσεις που εστιάζουν στην εφαρμογή της θεωρίας και αποσκοπούν στην κατανόηση της ύλης</w:t>
                  </w:r>
                </w:p>
              </w:tc>
              <w:tc>
                <w:tcPr>
                  <w:tcW w:w="2468" w:type="dxa"/>
                </w:tcPr>
                <w:p w:rsidR="000F4FD4" w:rsidRPr="00990D80" w:rsidRDefault="00F97F96"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45</w:t>
                  </w:r>
                </w:p>
              </w:tc>
            </w:tr>
            <w:tr w:rsidR="000F4FD4" w:rsidRPr="00990D80" w:rsidTr="007673F3">
              <w:tc>
                <w:tcPr>
                  <w:tcW w:w="2467" w:type="dxa"/>
                  <w:shd w:val="clear" w:color="auto" w:fill="auto"/>
                </w:tcPr>
                <w:p w:rsidR="000F4FD4" w:rsidRPr="00990D80" w:rsidRDefault="00990D80"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Αυτοτελής Μελέτη Θεωρίας</w:t>
                  </w:r>
                </w:p>
              </w:tc>
              <w:tc>
                <w:tcPr>
                  <w:tcW w:w="2468" w:type="dxa"/>
                </w:tcPr>
                <w:p w:rsidR="000F4FD4" w:rsidRPr="00990D80" w:rsidRDefault="00F97F96"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65</w:t>
                  </w: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705AAD" w:rsidTr="007673F3">
              <w:tc>
                <w:tcPr>
                  <w:tcW w:w="2467" w:type="dxa"/>
                </w:tcPr>
                <w:p w:rsidR="000F4FD4" w:rsidRPr="00DB7660" w:rsidRDefault="00990D80" w:rsidP="00990D80">
                  <w:pPr>
                    <w:spacing w:after="200"/>
                    <w:rPr>
                      <w:rFonts w:ascii="Calibri" w:eastAsia="Calibri" w:hAnsi="Calibri"/>
                      <w:b/>
                      <w:iCs/>
                      <w:color w:val="002060"/>
                      <w:sz w:val="20"/>
                      <w:szCs w:val="20"/>
                      <w:lang w:val="el-GR"/>
                    </w:rPr>
                  </w:pPr>
                  <w:r w:rsidRPr="00DB7660">
                    <w:rPr>
                      <w:rFonts w:ascii="Calibri" w:eastAsia="Calibri" w:hAnsi="Calibri"/>
                      <w:b/>
                      <w:iCs/>
                      <w:color w:val="002060"/>
                      <w:sz w:val="20"/>
                      <w:szCs w:val="20"/>
                      <w:lang w:val="el-GR"/>
                    </w:rPr>
                    <w:t>Σύνολο Μαθήματος (25 ώρες φόρτου εργασίας ανά πιστωτική μονάδα)</w:t>
                  </w:r>
                </w:p>
              </w:tc>
              <w:tc>
                <w:tcPr>
                  <w:tcW w:w="2468" w:type="dxa"/>
                  <w:vAlign w:val="center"/>
                </w:tcPr>
                <w:p w:rsidR="000F4FD4" w:rsidRPr="00DB7660" w:rsidRDefault="00DB7660" w:rsidP="0069544E">
                  <w:pPr>
                    <w:spacing w:after="200"/>
                    <w:jc w:val="center"/>
                    <w:rPr>
                      <w:rFonts w:ascii="Calibri" w:eastAsia="Calibri" w:hAnsi="Calibri"/>
                      <w:b/>
                      <w:iCs/>
                      <w:color w:val="002060"/>
                      <w:sz w:val="20"/>
                      <w:szCs w:val="20"/>
                      <w:lang w:val="el-GR"/>
                    </w:rPr>
                  </w:pPr>
                  <w:r w:rsidRPr="00DB7660">
                    <w:rPr>
                      <w:rFonts w:ascii="Calibri" w:eastAsia="Calibri" w:hAnsi="Calibri"/>
                      <w:b/>
                      <w:iCs/>
                      <w:color w:val="002060"/>
                      <w:sz w:val="20"/>
                      <w:szCs w:val="20"/>
                      <w:lang w:val="el-GR"/>
                    </w:rPr>
                    <w:t>1</w:t>
                  </w:r>
                  <w:r w:rsidR="0069544E">
                    <w:rPr>
                      <w:rFonts w:ascii="Calibri" w:eastAsia="Calibri" w:hAnsi="Calibri"/>
                      <w:b/>
                      <w:iCs/>
                      <w:color w:val="002060"/>
                      <w:sz w:val="20"/>
                      <w:szCs w:val="20"/>
                      <w:lang w:val="el-GR"/>
                    </w:rPr>
                    <w:t>25</w:t>
                  </w:r>
                </w:p>
              </w:tc>
            </w:tr>
          </w:tbl>
          <w:p w:rsidR="000F4FD4" w:rsidRPr="00705AAD" w:rsidRDefault="000F4FD4" w:rsidP="007673F3">
            <w:pPr>
              <w:rPr>
                <w:rFonts w:ascii="Tahoma" w:hAnsi="Tahoma" w:cs="Tahoma"/>
              </w:rPr>
            </w:pPr>
          </w:p>
        </w:tc>
      </w:tr>
      <w:tr w:rsidR="000F4FD4" w:rsidRPr="00036A54"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DB7660" w:rsidRPr="00DB7660" w:rsidRDefault="00DB7660" w:rsidP="00DB7660">
            <w:pPr>
              <w:rPr>
                <w:rFonts w:ascii="Calibri" w:hAnsi="Calibri" w:cs="Arial"/>
                <w:color w:val="002060"/>
                <w:lang w:val="el-GR"/>
              </w:rPr>
            </w:pPr>
            <w:r>
              <w:rPr>
                <w:rFonts w:ascii="Calibri" w:hAnsi="Calibri" w:cs="Arial"/>
                <w:color w:val="002060"/>
                <w:lang w:val="el-GR"/>
              </w:rPr>
              <w:t xml:space="preserve">Ι. </w:t>
            </w:r>
            <w:r w:rsidRPr="00DB7660">
              <w:rPr>
                <w:rFonts w:ascii="Calibri" w:hAnsi="Calibri" w:cs="Arial"/>
                <w:color w:val="002060"/>
                <w:lang w:val="el-GR"/>
              </w:rPr>
              <w:t>Γραπτή τελική εξέταση (70%) που περιλαμβάνει:</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Ερωτήσεις πολλαπλής επιλογής</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Επίλυση προβλημάτων</w:t>
            </w:r>
            <w:r>
              <w:rPr>
                <w:rFonts w:ascii="Calibri" w:hAnsi="Calibri" w:cs="Arial"/>
                <w:color w:val="002060"/>
                <w:lang w:val="el-GR"/>
              </w:rPr>
              <w:t xml:space="preserve"> και ασκήσεων</w:t>
            </w:r>
          </w:p>
          <w:p w:rsidR="00DB7660" w:rsidRDefault="00DB7660" w:rsidP="00DB7660">
            <w:pPr>
              <w:rPr>
                <w:rFonts w:ascii="Calibri" w:hAnsi="Calibri" w:cs="Arial"/>
                <w:color w:val="002060"/>
                <w:lang w:val="el-GR"/>
              </w:rPr>
            </w:pPr>
            <w:r w:rsidRPr="00DB7660">
              <w:rPr>
                <w:rFonts w:ascii="Calibri" w:hAnsi="Calibri" w:cs="Arial"/>
                <w:color w:val="002060"/>
                <w:lang w:val="el-GR"/>
              </w:rPr>
              <w:t xml:space="preserve">- Ερωτήσεις </w:t>
            </w:r>
            <w:r>
              <w:rPr>
                <w:rFonts w:ascii="Calibri" w:hAnsi="Calibri" w:cs="Arial"/>
                <w:color w:val="002060"/>
                <w:lang w:val="el-GR"/>
              </w:rPr>
              <w:t xml:space="preserve">κατανόησης </w:t>
            </w:r>
            <w:r w:rsidRPr="00DB7660">
              <w:rPr>
                <w:rFonts w:ascii="Calibri" w:hAnsi="Calibri" w:cs="Arial"/>
                <w:color w:val="002060"/>
                <w:lang w:val="el-GR"/>
              </w:rPr>
              <w:t>θεωρίας</w:t>
            </w:r>
          </w:p>
          <w:p w:rsidR="00DB7660" w:rsidRPr="00DB7660" w:rsidRDefault="00DB7660" w:rsidP="00DB7660">
            <w:pPr>
              <w:rPr>
                <w:rFonts w:ascii="Calibri" w:hAnsi="Calibri" w:cs="Arial"/>
                <w:color w:val="002060"/>
                <w:lang w:val="el-GR"/>
              </w:rPr>
            </w:pP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ΙΙ. Ενδιάμεση εξέταση (Πρόοδος, 30%)</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Επίλυση προβλημάτων</w:t>
            </w:r>
            <w:r>
              <w:rPr>
                <w:rFonts w:ascii="Calibri" w:hAnsi="Calibri" w:cs="Arial"/>
                <w:color w:val="002060"/>
                <w:lang w:val="el-GR"/>
              </w:rPr>
              <w:t xml:space="preserve"> και ασκήσεων</w:t>
            </w:r>
          </w:p>
          <w:p w:rsidR="000F4FD4" w:rsidRPr="00E6348C" w:rsidRDefault="000F4FD4" w:rsidP="007673F3">
            <w:pPr>
              <w:rPr>
                <w:rFonts w:ascii="Calibri" w:hAnsi="Calibri" w:cs="Arial"/>
                <w:color w:val="002060"/>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2A3A15" w:rsidTr="007673F3">
        <w:tc>
          <w:tcPr>
            <w:tcW w:w="8472" w:type="dxa"/>
          </w:tcPr>
          <w:p w:rsidR="001A1C52" w:rsidRPr="0002738D" w:rsidRDefault="00A8723B" w:rsidP="0002738D">
            <w:pPr>
              <w:jc w:val="both"/>
              <w:rPr>
                <w:rFonts w:cs="Arial"/>
                <w:lang w:val="el-GR"/>
              </w:rPr>
            </w:pPr>
            <w:r w:rsidRPr="0002738D">
              <w:rPr>
                <w:rFonts w:cs="Arial"/>
                <w:lang w:val="el-GR"/>
              </w:rPr>
              <w:t xml:space="preserve">- </w:t>
            </w:r>
            <w:r w:rsidR="000F4FD4" w:rsidRPr="0002738D">
              <w:rPr>
                <w:rFonts w:cs="Arial"/>
                <w:lang w:val="el-GR"/>
              </w:rPr>
              <w:t>Προτεινόμενη Βιβλι</w:t>
            </w:r>
            <w:r w:rsidR="001A1C52" w:rsidRPr="0002738D">
              <w:rPr>
                <w:rFonts w:cs="Arial"/>
                <w:lang w:val="el-GR"/>
              </w:rPr>
              <w:t>ογραφία</w:t>
            </w:r>
            <w:r w:rsidR="000F4FD4" w:rsidRPr="0002738D">
              <w:rPr>
                <w:rFonts w:cs="Arial"/>
                <w:lang w:val="el-GR"/>
              </w:rPr>
              <w:t>:</w:t>
            </w:r>
          </w:p>
          <w:p w:rsidR="0002738D" w:rsidRPr="0002738D" w:rsidRDefault="0002738D" w:rsidP="0002738D">
            <w:pPr>
              <w:jc w:val="both"/>
              <w:rPr>
                <w:rFonts w:cs="Arial"/>
                <w:lang w:val="el-GR"/>
              </w:rPr>
            </w:pPr>
          </w:p>
          <w:p w:rsidR="002A3A15" w:rsidRPr="002A3A15" w:rsidRDefault="002A3A15" w:rsidP="002A3A15">
            <w:pPr>
              <w:pStyle w:val="ab"/>
              <w:numPr>
                <w:ilvl w:val="0"/>
                <w:numId w:val="50"/>
              </w:numPr>
              <w:jc w:val="both"/>
              <w:rPr>
                <w:rFonts w:cs="Arial"/>
              </w:rPr>
            </w:pPr>
            <w:r>
              <w:rPr>
                <w:rFonts w:cs="Arial"/>
              </w:rPr>
              <w:t>«Διοικητική Λ</w:t>
            </w:r>
            <w:bookmarkStart w:id="1" w:name="_GoBack"/>
            <w:bookmarkEnd w:id="1"/>
            <w:r w:rsidRPr="002A3A15">
              <w:rPr>
                <w:rFonts w:cs="Arial"/>
              </w:rPr>
              <w:t>ογιστική</w:t>
            </w:r>
            <w:r>
              <w:rPr>
                <w:rFonts w:cs="Arial"/>
              </w:rPr>
              <w:t xml:space="preserve">: Για προγραμματισμό και Έλεγχο». Δημητράς Αυγουστίνος </w:t>
            </w:r>
            <w:r w:rsidRPr="002A3A15">
              <w:rPr>
                <w:rFonts w:cs="Arial"/>
              </w:rPr>
              <w:t xml:space="preserve">, </w:t>
            </w:r>
            <w:proofErr w:type="spellStart"/>
            <w:r w:rsidRPr="002A3A15">
              <w:rPr>
                <w:rFonts w:cs="Arial"/>
              </w:rPr>
              <w:t>Μπάλλας</w:t>
            </w:r>
            <w:proofErr w:type="spellEnd"/>
            <w:r w:rsidRPr="002A3A15">
              <w:rPr>
                <w:rFonts w:cs="Arial"/>
              </w:rPr>
              <w:t xml:space="preserve"> Απόστολος</w:t>
            </w:r>
            <w:r>
              <w:rPr>
                <w:rFonts w:cs="Arial"/>
              </w:rPr>
              <w:t xml:space="preserve">. Εκδόσεις: </w:t>
            </w:r>
            <w:r>
              <w:rPr>
                <w:rFonts w:cs="Arial"/>
                <w:lang w:val="en-US"/>
              </w:rPr>
              <w:t>Gutenberg</w:t>
            </w:r>
          </w:p>
          <w:p w:rsidR="002A3A15" w:rsidRPr="002A3A15" w:rsidRDefault="002A3A15" w:rsidP="002A3A15">
            <w:pPr>
              <w:pStyle w:val="ab"/>
              <w:numPr>
                <w:ilvl w:val="0"/>
                <w:numId w:val="50"/>
              </w:numPr>
              <w:jc w:val="both"/>
              <w:rPr>
                <w:rFonts w:cs="Arial"/>
              </w:rPr>
            </w:pPr>
            <w:r w:rsidRPr="002A3A15">
              <w:rPr>
                <w:rFonts w:cs="Arial"/>
              </w:rPr>
              <w:t>«</w:t>
            </w:r>
            <w:r w:rsidRPr="002A3A15">
              <w:rPr>
                <w:rFonts w:cs="Arial"/>
              </w:rPr>
              <w:t>Διοικητική Λογιστική</w:t>
            </w:r>
            <w:r w:rsidRPr="002A3A15">
              <w:rPr>
                <w:rFonts w:cs="Arial"/>
              </w:rPr>
              <w:t xml:space="preserve">»: </w:t>
            </w:r>
            <w:r w:rsidRPr="002A3A15">
              <w:rPr>
                <w:rFonts w:cs="Arial"/>
                <w:lang w:val="en-GB"/>
              </w:rPr>
              <w:t>Needles</w:t>
            </w:r>
            <w:r w:rsidRPr="002A3A15">
              <w:rPr>
                <w:rFonts w:cs="Arial"/>
              </w:rPr>
              <w:t>,</w:t>
            </w:r>
            <w:r w:rsidRPr="002A3A15">
              <w:rPr>
                <w:rFonts w:cs="Arial"/>
              </w:rPr>
              <w:t xml:space="preserve"> </w:t>
            </w:r>
            <w:r w:rsidRPr="002A3A15">
              <w:rPr>
                <w:rFonts w:cs="Arial"/>
                <w:lang w:val="en-GB"/>
              </w:rPr>
              <w:t>B</w:t>
            </w:r>
            <w:r w:rsidRPr="002A3A15">
              <w:rPr>
                <w:rFonts w:cs="Arial"/>
              </w:rPr>
              <w:t>.,</w:t>
            </w:r>
            <w:r w:rsidRPr="002A3A15">
              <w:rPr>
                <w:rFonts w:cs="Arial"/>
              </w:rPr>
              <w:t xml:space="preserve"> </w:t>
            </w:r>
            <w:r w:rsidRPr="002A3A15">
              <w:rPr>
                <w:rFonts w:cs="Arial"/>
                <w:lang w:val="en-GB"/>
              </w:rPr>
              <w:t>Powers</w:t>
            </w:r>
            <w:r w:rsidRPr="002A3A15">
              <w:rPr>
                <w:rFonts w:cs="Arial"/>
              </w:rPr>
              <w:t>,</w:t>
            </w:r>
            <w:r w:rsidRPr="002A3A15">
              <w:rPr>
                <w:rFonts w:cs="Arial"/>
              </w:rPr>
              <w:t xml:space="preserve"> </w:t>
            </w:r>
            <w:r w:rsidRPr="002A3A15">
              <w:rPr>
                <w:rFonts w:cs="Arial"/>
                <w:lang w:val="en-GB"/>
              </w:rPr>
              <w:t>M</w:t>
            </w:r>
            <w:r w:rsidRPr="002A3A15">
              <w:rPr>
                <w:rFonts w:cs="Arial"/>
              </w:rPr>
              <w:t>.</w:t>
            </w:r>
            <w:r w:rsidRPr="002A3A15">
              <w:rPr>
                <w:rFonts w:cs="Arial"/>
              </w:rPr>
              <w:t xml:space="preserve">, </w:t>
            </w:r>
            <w:proofErr w:type="spellStart"/>
            <w:r w:rsidRPr="002A3A15">
              <w:rPr>
                <w:rFonts w:cs="Arial"/>
                <w:lang w:val="en-GB"/>
              </w:rPr>
              <w:t>Crosson</w:t>
            </w:r>
            <w:proofErr w:type="spellEnd"/>
            <w:r w:rsidRPr="002A3A15">
              <w:rPr>
                <w:rFonts w:cs="Arial"/>
              </w:rPr>
              <w:t xml:space="preserve"> </w:t>
            </w:r>
            <w:r w:rsidRPr="002A3A15">
              <w:rPr>
                <w:rFonts w:cs="Arial"/>
                <w:lang w:val="en-GB"/>
              </w:rPr>
              <w:t>S</w:t>
            </w:r>
            <w:r w:rsidRPr="002A3A15">
              <w:rPr>
                <w:rFonts w:cs="Arial"/>
              </w:rPr>
              <w:t>.</w:t>
            </w:r>
            <w:r>
              <w:rPr>
                <w:rFonts w:cs="Arial"/>
              </w:rPr>
              <w:t xml:space="preserve"> Εκδόσεις:</w:t>
            </w:r>
            <w:r>
              <w:t xml:space="preserve"> </w:t>
            </w:r>
            <w:r w:rsidRPr="002A3A15">
              <w:rPr>
                <w:rFonts w:cs="Arial"/>
              </w:rPr>
              <w:t>BROKEN HILL PUBLISHERS LTD</w:t>
            </w:r>
            <w:r>
              <w:rPr>
                <w:rFonts w:cs="Arial"/>
              </w:rPr>
              <w:t xml:space="preserve"> </w:t>
            </w:r>
          </w:p>
          <w:p w:rsidR="002A3A15" w:rsidRPr="002A3A15" w:rsidRDefault="002A3A15" w:rsidP="002A3A15">
            <w:pPr>
              <w:pStyle w:val="ab"/>
              <w:numPr>
                <w:ilvl w:val="0"/>
                <w:numId w:val="50"/>
              </w:numPr>
              <w:jc w:val="both"/>
              <w:rPr>
                <w:rFonts w:cs="Arial"/>
                <w:lang w:val="en-GB"/>
              </w:rPr>
            </w:pPr>
            <w:r w:rsidRPr="002A3A15">
              <w:rPr>
                <w:rFonts w:cs="Arial"/>
                <w:lang w:val="en-GB"/>
              </w:rPr>
              <w:t>«</w:t>
            </w:r>
            <w:r w:rsidRPr="002A3A15">
              <w:rPr>
                <w:rFonts w:cs="Arial"/>
              </w:rPr>
              <w:t>ΔΙΟΙΚΗΤΙΚΗ</w:t>
            </w:r>
            <w:r w:rsidRPr="002A3A15">
              <w:rPr>
                <w:rFonts w:cs="Arial"/>
                <w:lang w:val="en-GB"/>
              </w:rPr>
              <w:t xml:space="preserve"> </w:t>
            </w:r>
            <w:r w:rsidRPr="002A3A15">
              <w:rPr>
                <w:rFonts w:cs="Arial"/>
              </w:rPr>
              <w:t>ΛΟΓΙΣΤΙΚΗ</w:t>
            </w:r>
            <w:r w:rsidRPr="002A3A15">
              <w:rPr>
                <w:rFonts w:cs="Arial"/>
                <w:lang w:val="en-GB"/>
              </w:rPr>
              <w:t xml:space="preserve">»: </w:t>
            </w:r>
            <w:r>
              <w:rPr>
                <w:rFonts w:cs="Arial"/>
                <w:lang w:val="en-GB"/>
              </w:rPr>
              <w:t>R</w:t>
            </w:r>
            <w:r w:rsidRPr="002A3A15">
              <w:rPr>
                <w:rFonts w:cs="Arial"/>
                <w:lang w:val="en-GB"/>
              </w:rPr>
              <w:t xml:space="preserve">. GARRISON, E. NOREEN, P. BREWER. </w:t>
            </w:r>
            <w:r>
              <w:rPr>
                <w:rFonts w:cs="Arial"/>
              </w:rPr>
              <w:t>Εκδόσεις: Κλειδάριθμος</w:t>
            </w:r>
          </w:p>
          <w:p w:rsidR="000F4FD4" w:rsidRPr="0002738D" w:rsidRDefault="000F4FD4" w:rsidP="001C1F5D">
            <w:pPr>
              <w:jc w:val="both"/>
              <w:rPr>
                <w:rFonts w:ascii="Calibri" w:hAnsi="Calibri" w:cs="Arial"/>
                <w:sz w:val="22"/>
                <w:szCs w:val="22"/>
                <w:lang w:val="el-GR"/>
              </w:rPr>
            </w:pPr>
            <w:r w:rsidRPr="0002738D">
              <w:rPr>
                <w:rFonts w:ascii="Calibri" w:hAnsi="Calibri" w:cs="Arial"/>
                <w:sz w:val="22"/>
                <w:szCs w:val="22"/>
                <w:lang w:val="el-GR"/>
              </w:rPr>
              <w:t>Συναφή επιστημονικά περιοδικά:</w:t>
            </w:r>
          </w:p>
          <w:p w:rsidR="000F4FD4" w:rsidRPr="0002738D" w:rsidRDefault="000F4FD4" w:rsidP="001C1F5D">
            <w:pPr>
              <w:ind w:left="567"/>
              <w:jc w:val="both"/>
              <w:rPr>
                <w:rFonts w:ascii="Calibri" w:hAnsi="Calibri" w:cs="Arial"/>
                <w:sz w:val="22"/>
                <w:szCs w:val="22"/>
                <w:lang w:val="el-GR"/>
              </w:rPr>
            </w:pPr>
          </w:p>
          <w:p w:rsidR="000F4FD4" w:rsidRPr="0002738D" w:rsidRDefault="000F4FD4" w:rsidP="001C1F5D">
            <w:pPr>
              <w:ind w:left="567"/>
              <w:jc w:val="both"/>
              <w:rPr>
                <w:rFonts w:ascii="Calibri" w:hAnsi="Calibri" w:cs="Arial"/>
                <w:sz w:val="22"/>
                <w:szCs w:val="22"/>
                <w:lang w:val="el-GR"/>
              </w:rPr>
            </w:pPr>
          </w:p>
          <w:p w:rsidR="000F4FD4" w:rsidRPr="0002738D" w:rsidRDefault="000F4FD4" w:rsidP="001C1F5D">
            <w:pPr>
              <w:ind w:left="567"/>
              <w:jc w:val="both"/>
              <w:rPr>
                <w:rFonts w:ascii="Calibri" w:hAnsi="Calibri" w:cs="Arial"/>
                <w:sz w:val="22"/>
                <w:szCs w:val="22"/>
                <w:lang w:val="el-GR"/>
              </w:rPr>
            </w:pPr>
          </w:p>
        </w:tc>
      </w:tr>
    </w:tbl>
    <w:p w:rsidR="000F4FD4" w:rsidRPr="002A3A15" w:rsidRDefault="000F4FD4" w:rsidP="00275843">
      <w:pPr>
        <w:rPr>
          <w:rFonts w:ascii="Cambria" w:hAnsi="Cambria"/>
          <w:b/>
          <w:bCs/>
          <w:sz w:val="28"/>
          <w:lang w:val="el-GR"/>
        </w:rPr>
      </w:pPr>
    </w:p>
    <w:bookmarkEnd w:id="0"/>
    <w:sectPr w:rsidR="000F4FD4" w:rsidRPr="002A3A15"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F3" w:rsidRDefault="007673F3">
      <w:r>
        <w:separator/>
      </w:r>
    </w:p>
  </w:endnote>
  <w:endnote w:type="continuationSeparator" w:id="0">
    <w:p w:rsidR="007673F3" w:rsidRDefault="007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F3" w:rsidRDefault="007673F3">
      <w:r>
        <w:separator/>
      </w:r>
    </w:p>
  </w:footnote>
  <w:footnote w:type="continuationSeparator" w:id="0">
    <w:p w:rsidR="007673F3" w:rsidRDefault="0076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71F2750"/>
    <w:multiLevelType w:val="hybridMultilevel"/>
    <w:tmpl w:val="CC0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1F801F0E"/>
    <w:multiLevelType w:val="hybridMultilevel"/>
    <w:tmpl w:val="3390A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DFF4E2E"/>
    <w:multiLevelType w:val="hybridMultilevel"/>
    <w:tmpl w:val="DD92A676"/>
    <w:lvl w:ilvl="0" w:tplc="7E785288">
      <w:start w:val="1"/>
      <w:numFmt w:val="decimal"/>
      <w:lvlText w:val="%1."/>
      <w:lvlJc w:val="left"/>
      <w:pPr>
        <w:ind w:left="1800" w:hanging="36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nsid w:val="718C4C06"/>
    <w:multiLevelType w:val="hybridMultilevel"/>
    <w:tmpl w:val="9AE836A6"/>
    <w:lvl w:ilvl="0" w:tplc="7E785288">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nsid w:val="747168C2"/>
    <w:multiLevelType w:val="hybridMultilevel"/>
    <w:tmpl w:val="2B2E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5"/>
  </w:num>
  <w:num w:numId="7">
    <w:abstractNumId w:val="19"/>
  </w:num>
  <w:num w:numId="8">
    <w:abstractNumId w:val="8"/>
  </w:num>
  <w:num w:numId="9">
    <w:abstractNumId w:val="36"/>
  </w:num>
  <w:num w:numId="10">
    <w:abstractNumId w:val="46"/>
  </w:num>
  <w:num w:numId="11">
    <w:abstractNumId w:val="20"/>
  </w:num>
  <w:num w:numId="12">
    <w:abstractNumId w:val="24"/>
  </w:num>
  <w:num w:numId="13">
    <w:abstractNumId w:val="8"/>
  </w:num>
  <w:num w:numId="14">
    <w:abstractNumId w:val="15"/>
  </w:num>
  <w:num w:numId="15">
    <w:abstractNumId w:val="39"/>
  </w:num>
  <w:num w:numId="16">
    <w:abstractNumId w:val="36"/>
  </w:num>
  <w:num w:numId="17">
    <w:abstractNumId w:val="13"/>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7"/>
  </w:num>
  <w:num w:numId="27">
    <w:abstractNumId w:val="34"/>
  </w:num>
  <w:num w:numId="28">
    <w:abstractNumId w:val="7"/>
  </w:num>
  <w:num w:numId="29">
    <w:abstractNumId w:val="26"/>
  </w:num>
  <w:num w:numId="30">
    <w:abstractNumId w:val="41"/>
  </w:num>
  <w:num w:numId="31">
    <w:abstractNumId w:val="9"/>
  </w:num>
  <w:num w:numId="32">
    <w:abstractNumId w:val="29"/>
  </w:num>
  <w:num w:numId="33">
    <w:abstractNumId w:val="23"/>
  </w:num>
  <w:num w:numId="34">
    <w:abstractNumId w:val="40"/>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8"/>
  </w:num>
  <w:num w:numId="42">
    <w:abstractNumId w:val="28"/>
  </w:num>
  <w:num w:numId="43">
    <w:abstractNumId w:val="30"/>
  </w:num>
  <w:num w:numId="44">
    <w:abstractNumId w:val="38"/>
  </w:num>
  <w:num w:numId="45">
    <w:abstractNumId w:val="3"/>
  </w:num>
  <w:num w:numId="46">
    <w:abstractNumId w:val="44"/>
  </w:num>
  <w:num w:numId="47">
    <w:abstractNumId w:val="12"/>
  </w:num>
  <w:num w:numId="48">
    <w:abstractNumId w:val="16"/>
  </w:num>
  <w:num w:numId="49">
    <w:abstractNumId w:val="42"/>
  </w:num>
  <w:num w:numId="5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3FD1"/>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38D"/>
    <w:rsid w:val="000275E7"/>
    <w:rsid w:val="000275FF"/>
    <w:rsid w:val="00027E26"/>
    <w:rsid w:val="000306CF"/>
    <w:rsid w:val="00030F0D"/>
    <w:rsid w:val="000328C5"/>
    <w:rsid w:val="00033075"/>
    <w:rsid w:val="00033ED5"/>
    <w:rsid w:val="00034998"/>
    <w:rsid w:val="00036A54"/>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0079"/>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1F5D"/>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5843"/>
    <w:rsid w:val="0027626F"/>
    <w:rsid w:val="00277781"/>
    <w:rsid w:val="00280486"/>
    <w:rsid w:val="00280BFE"/>
    <w:rsid w:val="0028166F"/>
    <w:rsid w:val="00282FAB"/>
    <w:rsid w:val="00285D8B"/>
    <w:rsid w:val="00286A85"/>
    <w:rsid w:val="002874EB"/>
    <w:rsid w:val="0029057A"/>
    <w:rsid w:val="00296F0C"/>
    <w:rsid w:val="002A03B0"/>
    <w:rsid w:val="002A211F"/>
    <w:rsid w:val="002A3A15"/>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47AB"/>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544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4DEF"/>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76F58"/>
    <w:rsid w:val="009800BC"/>
    <w:rsid w:val="0098023E"/>
    <w:rsid w:val="009830A7"/>
    <w:rsid w:val="00983485"/>
    <w:rsid w:val="00983C02"/>
    <w:rsid w:val="00985BA3"/>
    <w:rsid w:val="00990D80"/>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07ECC"/>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01DB"/>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47F83"/>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13A"/>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660"/>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348C"/>
    <w:rsid w:val="00E64F68"/>
    <w:rsid w:val="00E65B94"/>
    <w:rsid w:val="00E65E4D"/>
    <w:rsid w:val="00E66DE9"/>
    <w:rsid w:val="00E677AA"/>
    <w:rsid w:val="00E67AB8"/>
    <w:rsid w:val="00E71E70"/>
    <w:rsid w:val="00E731FB"/>
    <w:rsid w:val="00E75F88"/>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7F96"/>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5CB9-E985-4E36-8275-17F854EB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5301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Windows User</cp:lastModifiedBy>
  <cp:revision>2</cp:revision>
  <cp:lastPrinted>2014-04-24T14:33:00Z</cp:lastPrinted>
  <dcterms:created xsi:type="dcterms:W3CDTF">2021-10-19T11:50:00Z</dcterms:created>
  <dcterms:modified xsi:type="dcterms:W3CDTF">2021-10-19T11:50:00Z</dcterms:modified>
</cp:coreProperties>
</file>